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noProof/>
        </w:rPr>
      </w:pPr>
    </w:p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751668"/>
            <wp:effectExtent l="0" t="0" r="0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46" cy="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23 октября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Более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78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тысяч интеллектуальных приборов учета электроэнергии установлено на территории Нижегородской области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«Россети Центр и Приволжье Нижновэнерго» напоминает, что установка «умных» счетчиков абсолютно бесплатна для потребителей, исключает их дальнейшее обслуживание и ежемесячное снятие показаний.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Напомним, что в рамках </w:t>
      </w:r>
      <w:proofErr w:type="spellStart"/>
      <w:r>
        <w:rPr>
          <w:color w:val="000000"/>
          <w:sz w:val="28"/>
          <w:szCs w:val="28"/>
        </w:rPr>
        <w:t>энергосервисного</w:t>
      </w:r>
      <w:proofErr w:type="spellEnd"/>
      <w:r>
        <w:rPr>
          <w:color w:val="000000"/>
          <w:sz w:val="28"/>
          <w:szCs w:val="28"/>
        </w:rPr>
        <w:t xml:space="preserve"> контракта, предусматривающего снижение потерь электроэнергии на 195 млн кВт*ч за 2018-2023 годы, интеллектуальные системы учета будут установлены у более чем 90 тысяч потребителей на всей территории Нижегородской области. 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установлено более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тысяч «умных» счетчиков с возможностью передачи данных в автоматическом режиме. Установка интеллектуальных систем учета в районах, характеризующихся высоким уровнем потерь в сети, продолжается.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установка электросчетчиков выполняется за счет нетарифных источников, поэтому на динамике тарифов данные работы не отразятся.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Монтаж оборудования выполняется на безвозмездной основе, а модуль отображения информации (в том числе показаний) выдается потребителю абсолютно бесплатно.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есть ещё ряд преимуществ использования «умных» счетчиков для потребителей: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ежемесячной передачи показаний с многотарифного прибора учета, так как она осуществляется автоматически;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 работы по эксплуатации и устранению неисправностей счетчиков, в том числе периодическую поверку, будут проводить специалисты Нижновэнерго;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необходимости предоставления допуска представителям Нижновэнерго для проведения плановых проверок установленных приборов учета.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«Установка «умных» счетчиков – это первый важный шаг на пути цифровизации электрических сетей в регионе, который несет максимальную выгоду нашим абонентам. Такой «цифровой» и, главное, независимый учет показаний снимет все разногласия по объемам потребленной электроэнергии между потребителями, сетевыми и сбытовыми компаниями», – отметил директор «Россети Центр и Приволжье Нижновэнерго» </w:t>
      </w:r>
      <w:r>
        <w:rPr>
          <w:b/>
          <w:color w:val="000000"/>
          <w:sz w:val="28"/>
          <w:szCs w:val="28"/>
        </w:rPr>
        <w:t>Вячеслав Горев.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, 64 тыс. трансформаторных подстанций 6-35/0,4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75E78D5"/>
    <w:multiLevelType w:val="hybridMultilevel"/>
    <w:tmpl w:val="CA9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012BFB-71CA-48B1-9736-6D4F764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8FEC-882D-46D7-ABDB-014E9698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47</cp:revision>
  <cp:lastPrinted>2017-08-14T06:21:00Z</cp:lastPrinted>
  <dcterms:created xsi:type="dcterms:W3CDTF">2019-06-20T13:12:00Z</dcterms:created>
  <dcterms:modified xsi:type="dcterms:W3CDTF">2019-10-23T09:47:00Z</dcterms:modified>
</cp:coreProperties>
</file>