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Отчет</w:t>
      </w:r>
    </w:p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 проведении публичных консультаций</w:t>
      </w:r>
    </w:p>
    <w:p w:rsidR="00AE47EC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47EC" w:rsidRPr="00536510" w:rsidRDefault="00AE47EC" w:rsidP="00FA23A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 w:rsidR="00447DBE">
        <w:rPr>
          <w:rFonts w:ascii="Times New Roman" w:hAnsi="Times New Roman" w:cs="Times New Roman"/>
          <w:szCs w:val="22"/>
        </w:rPr>
        <w:t>развития территорий</w:t>
      </w:r>
      <w:r w:rsidR="00FA23A0">
        <w:rPr>
          <w:rFonts w:ascii="Times New Roman" w:hAnsi="Times New Roman" w:cs="Times New Roman"/>
          <w:szCs w:val="22"/>
        </w:rPr>
        <w:t xml:space="preserve">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B765B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5BC">
        <w:rPr>
          <w:rFonts w:ascii="Times New Roman" w:hAnsi="Times New Roman" w:cs="Times New Roman"/>
        </w:rPr>
        <w:t>Проект решения Совета депутатов Починковского муниципального округа «</w:t>
      </w:r>
      <w:r w:rsidR="00447DBE" w:rsidRPr="00447DBE">
        <w:rPr>
          <w:rFonts w:ascii="Times New Roman" w:hAnsi="Times New Roman" w:cs="Times New Roman"/>
        </w:rPr>
        <w:t>Об утверждении Положения о муниципальном контроле в сфере благоустройства в Починковском муниципальном округе Нижегородской области</w:t>
      </w:r>
      <w:r w:rsidRPr="00B765BC">
        <w:rPr>
          <w:rFonts w:ascii="Times New Roman" w:hAnsi="Times New Roman" w:cs="Times New Roman"/>
        </w:rPr>
        <w:t>»</w:t>
      </w:r>
    </w:p>
    <w:p w:rsidR="00B765BC" w:rsidRPr="0023074F" w:rsidRDefault="00B765B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1. Срок проведения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B765BC" w:rsidP="00B765BC">
      <w:pPr>
        <w:pStyle w:val="ConsPlusNormal"/>
        <w:jc w:val="center"/>
        <w:rPr>
          <w:rFonts w:ascii="Times New Roman" w:hAnsi="Times New Roman" w:cs="Times New Roman"/>
        </w:rPr>
      </w:pPr>
      <w:r w:rsidRPr="00B765BC">
        <w:rPr>
          <w:rFonts w:ascii="Times New Roman" w:hAnsi="Times New Roman" w:cs="Times New Roman"/>
        </w:rPr>
        <w:t>"</w:t>
      </w:r>
      <w:r w:rsidR="00447DBE">
        <w:rPr>
          <w:rFonts w:ascii="Times New Roman" w:hAnsi="Times New Roman" w:cs="Times New Roman"/>
        </w:rPr>
        <w:t>10</w:t>
      </w:r>
      <w:r w:rsidRPr="00B765BC">
        <w:rPr>
          <w:rFonts w:ascii="Times New Roman" w:hAnsi="Times New Roman" w:cs="Times New Roman"/>
        </w:rPr>
        <w:t>" августа 2021 года - "</w:t>
      </w:r>
      <w:r w:rsidR="00447DBE">
        <w:rPr>
          <w:rFonts w:ascii="Times New Roman" w:hAnsi="Times New Roman" w:cs="Times New Roman"/>
        </w:rPr>
        <w:t>1</w:t>
      </w:r>
      <w:r w:rsidRPr="00B765BC">
        <w:rPr>
          <w:rFonts w:ascii="Times New Roman" w:hAnsi="Times New Roman" w:cs="Times New Roman"/>
        </w:rPr>
        <w:t>0" сентября 2021 года</w:t>
      </w:r>
    </w:p>
    <w:p w:rsidR="00B765BC" w:rsidRPr="0023074F" w:rsidRDefault="00B765BC" w:rsidP="00B765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Проведенные формы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025"/>
        <w:gridCol w:w="2400"/>
        <w:gridCol w:w="1917"/>
      </w:tblGrid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074F">
              <w:rPr>
                <w:rFonts w:ascii="Times New Roman" w:hAnsi="Times New Roman" w:cs="Times New Roman"/>
              </w:rPr>
              <w:t>/</w:t>
            </w:r>
            <w:proofErr w:type="spell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5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Наименование формы публичных консультаций</w:t>
            </w:r>
          </w:p>
        </w:tc>
        <w:tc>
          <w:tcPr>
            <w:tcW w:w="240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17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5" w:type="dxa"/>
          </w:tcPr>
          <w:p w:rsidR="00AE47EC" w:rsidRPr="0023074F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="00447DBE" w:rsidRPr="00447DBE">
              <w:rPr>
                <w:rFonts w:ascii="Times New Roman" w:hAnsi="Times New Roman" w:cs="Times New Roman"/>
              </w:rPr>
              <w:t>dmitryi-larin@mail.ru</w:t>
            </w:r>
          </w:p>
        </w:tc>
        <w:tc>
          <w:tcPr>
            <w:tcW w:w="2400" w:type="dxa"/>
          </w:tcPr>
          <w:p w:rsidR="00AE47EC" w:rsidRPr="0023074F" w:rsidRDefault="00447DBE" w:rsidP="00447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7EC">
              <w:rPr>
                <w:rFonts w:ascii="Times New Roman" w:hAnsi="Times New Roman" w:cs="Times New Roman"/>
              </w:rPr>
              <w:t>0.0</w:t>
            </w:r>
            <w:r w:rsidR="00FA23A0">
              <w:rPr>
                <w:rFonts w:ascii="Times New Roman" w:hAnsi="Times New Roman" w:cs="Times New Roman"/>
              </w:rPr>
              <w:t>8</w:t>
            </w:r>
            <w:r w:rsidR="00AE47EC">
              <w:rPr>
                <w:rFonts w:ascii="Times New Roman" w:hAnsi="Times New Roman" w:cs="Times New Roman"/>
              </w:rPr>
              <w:t>.2021-</w:t>
            </w:r>
            <w:r>
              <w:rPr>
                <w:rFonts w:ascii="Times New Roman" w:hAnsi="Times New Roman" w:cs="Times New Roman"/>
              </w:rPr>
              <w:t>1</w:t>
            </w:r>
            <w:r w:rsidR="00AE47EC">
              <w:rPr>
                <w:rFonts w:ascii="Times New Roman" w:hAnsi="Times New Roman" w:cs="Times New Roman"/>
              </w:rPr>
              <w:t>0.0</w:t>
            </w:r>
            <w:r w:rsidR="00FA23A0">
              <w:rPr>
                <w:rFonts w:ascii="Times New Roman" w:hAnsi="Times New Roman" w:cs="Times New Roman"/>
              </w:rPr>
              <w:t>9</w:t>
            </w:r>
            <w:r w:rsidR="00AE47E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7" w:type="dxa"/>
          </w:tcPr>
          <w:p w:rsidR="00AE47EC" w:rsidRPr="0023074F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3A0" w:rsidRPr="0023074F" w:rsidTr="00FA23A0">
        <w:tc>
          <w:tcPr>
            <w:tcW w:w="680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5" w:type="dxa"/>
          </w:tcPr>
          <w:p w:rsidR="00FA23A0" w:rsidRPr="00FA23A0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>Получение мнений на бумажном носителе, направленных по адресу: 607910,  с. Починки, ул. Ленина,</w:t>
            </w:r>
            <w:r w:rsidR="007B5D57">
              <w:rPr>
                <w:rFonts w:ascii="Times New Roman" w:hAnsi="Times New Roman" w:cs="Times New Roman"/>
              </w:rPr>
              <w:t xml:space="preserve"> </w:t>
            </w:r>
            <w:r w:rsidRPr="00FA23A0">
              <w:rPr>
                <w:rFonts w:ascii="Times New Roman" w:hAnsi="Times New Roman" w:cs="Times New Roman"/>
              </w:rPr>
              <w:t>д.1</w:t>
            </w:r>
          </w:p>
        </w:tc>
        <w:tc>
          <w:tcPr>
            <w:tcW w:w="2400" w:type="dxa"/>
          </w:tcPr>
          <w:p w:rsidR="00FA23A0" w:rsidRPr="0023074F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09.08.2021-09.09.2021</w:t>
            </w:r>
          </w:p>
        </w:tc>
        <w:tc>
          <w:tcPr>
            <w:tcW w:w="1917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3. Список участников публичных консультаций:</w:t>
      </w:r>
    </w:p>
    <w:p w:rsidR="00AE47EC" w:rsidRPr="00FA23A0" w:rsidRDefault="00FA23A0" w:rsidP="00AE47EC">
      <w:pPr>
        <w:pStyle w:val="ConsPlusNormal"/>
        <w:jc w:val="center"/>
        <w:rPr>
          <w:rFonts w:ascii="Times New Roman" w:hAnsi="Times New Roman" w:cs="Times New Roman"/>
        </w:rPr>
      </w:pPr>
      <w:r w:rsidRPr="00FA23A0">
        <w:rPr>
          <w:rFonts w:ascii="Times New Roman" w:hAnsi="Times New Roman" w:cs="Times New Roman"/>
        </w:rPr>
        <w:t>АНО «Центр развития предпринимательства Починковского  муниципального района», Аппарат уполномоченного по защите прав предпринимателей в Нижегородской области.</w:t>
      </w:r>
    </w:p>
    <w:p w:rsidR="00AE47EC" w:rsidRPr="00536510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4. Свод замечаний и предложений</w:t>
      </w:r>
    </w:p>
    <w:p w:rsidR="00AE47EC" w:rsidRPr="0023074F" w:rsidRDefault="00AE47EC" w:rsidP="00AE47EC">
      <w:pPr>
        <w:pStyle w:val="ConsPlusNormal"/>
        <w:jc w:val="center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по результатам публичных консультаций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35"/>
        <w:gridCol w:w="1134"/>
        <w:gridCol w:w="4479"/>
      </w:tblGrid>
      <w:tr w:rsidR="00AE47EC" w:rsidRPr="00285646" w:rsidTr="00285646">
        <w:tc>
          <w:tcPr>
            <w:tcW w:w="680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856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85646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856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35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Замечания и (или) предложения</w:t>
            </w:r>
          </w:p>
        </w:tc>
        <w:tc>
          <w:tcPr>
            <w:tcW w:w="1134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4479" w:type="dxa"/>
          </w:tcPr>
          <w:p w:rsidR="00AE47EC" w:rsidRPr="00285646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Комментарий (позиция) регулирующего органа</w:t>
            </w:r>
          </w:p>
        </w:tc>
      </w:tr>
      <w:tr w:rsidR="007B5D57" w:rsidRPr="00285646" w:rsidTr="00285646">
        <w:tc>
          <w:tcPr>
            <w:tcW w:w="680" w:type="dxa"/>
          </w:tcPr>
          <w:p w:rsidR="007B5D57" w:rsidRPr="00285646" w:rsidRDefault="007B5D57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35" w:type="dxa"/>
          </w:tcPr>
          <w:p w:rsidR="007B5D57" w:rsidRPr="003358F2" w:rsidRDefault="00447DBE" w:rsidP="00447D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58F2">
              <w:rPr>
                <w:rFonts w:eastAsia="Calibri"/>
                <w:sz w:val="22"/>
                <w:szCs w:val="22"/>
                <w:lang w:eastAsia="en-US"/>
              </w:rPr>
              <w:t>П.3.2.8 – после слова «пяти» установлена сноска «9». Аналогичная техническая ошибка содержится в п. 4.5.6.</w:t>
            </w:r>
          </w:p>
          <w:p w:rsidR="00447DBE" w:rsidRPr="003358F2" w:rsidRDefault="00447DBE" w:rsidP="00447D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58F2">
              <w:rPr>
                <w:rFonts w:eastAsia="Calibri"/>
                <w:sz w:val="22"/>
                <w:szCs w:val="22"/>
                <w:lang w:eastAsia="en-US"/>
              </w:rPr>
              <w:t>П.4.1.2 – после слова «контроля» пропущен предлог «с».</w:t>
            </w:r>
          </w:p>
        </w:tc>
        <w:tc>
          <w:tcPr>
            <w:tcW w:w="1134" w:type="dxa"/>
          </w:tcPr>
          <w:p w:rsidR="007B5D57" w:rsidRPr="00285646" w:rsidRDefault="007B5D57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7B5D57" w:rsidRPr="00285646" w:rsidRDefault="00B765BC" w:rsidP="002A7608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Замечания учтены</w:t>
            </w:r>
            <w:r w:rsidR="00447DBE">
              <w:rPr>
                <w:rFonts w:eastAsia="Calibri"/>
                <w:sz w:val="22"/>
                <w:szCs w:val="22"/>
                <w:lang w:eastAsia="en-US"/>
              </w:rPr>
              <w:t>, технические ошибки исправлены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7B5D57" w:rsidRPr="00285646" w:rsidTr="00285646">
        <w:tc>
          <w:tcPr>
            <w:tcW w:w="680" w:type="dxa"/>
          </w:tcPr>
          <w:p w:rsidR="007B5D57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35" w:type="dxa"/>
          </w:tcPr>
          <w:p w:rsidR="007B5D57" w:rsidRPr="003358F2" w:rsidRDefault="00447DBE" w:rsidP="007B5D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58F2">
              <w:rPr>
                <w:rFonts w:eastAsia="Calibri"/>
                <w:sz w:val="22"/>
                <w:szCs w:val="22"/>
                <w:lang w:eastAsia="en-US"/>
              </w:rPr>
              <w:t xml:space="preserve">Приложение 2 устанавливает необоснованно жесткие критерии </w:t>
            </w:r>
            <w:r w:rsidRPr="003358F2"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отнесения к той или иной категории риска. Соответственно, предлагается уменьшить установленные сроки: «значительный риск», «средний риск» - в течение года, «умеренный риск» - в течение двух лет. Кроме того, в категории объектов умеренного риска не уточняется вопрос исполнения выданного предписания.</w:t>
            </w:r>
          </w:p>
        </w:tc>
        <w:tc>
          <w:tcPr>
            <w:tcW w:w="1134" w:type="dxa"/>
          </w:tcPr>
          <w:p w:rsidR="007B5D57" w:rsidRPr="00285646" w:rsidRDefault="00E417D1" w:rsidP="007B5D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lastRenderedPageBreak/>
              <w:t>Аппарат уполномо</w:t>
            </w:r>
            <w:r w:rsidRPr="00285646">
              <w:rPr>
                <w:sz w:val="22"/>
                <w:szCs w:val="22"/>
              </w:rPr>
              <w:lastRenderedPageBreak/>
              <w:t>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2A7608" w:rsidRPr="004C5954" w:rsidRDefault="002A7608" w:rsidP="002A7608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Замечания учтены, Приложение 2 изложено в новой редакции.</w:t>
            </w:r>
          </w:p>
          <w:p w:rsidR="007B5D57" w:rsidRPr="00285646" w:rsidRDefault="007B5D57" w:rsidP="002A7608">
            <w:pPr>
              <w:tabs>
                <w:tab w:val="left" w:pos="0"/>
              </w:tabs>
              <w:autoSpaceDE w:val="0"/>
              <w:autoSpaceDN w:val="0"/>
              <w:adjustRightInd w:val="0"/>
              <w:ind w:firstLine="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48EE" w:rsidRPr="00285646" w:rsidTr="00AE0710">
        <w:tc>
          <w:tcPr>
            <w:tcW w:w="680" w:type="dxa"/>
          </w:tcPr>
          <w:p w:rsidR="000C48EE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635" w:type="dxa"/>
            <w:shd w:val="clear" w:color="auto" w:fill="auto"/>
          </w:tcPr>
          <w:p w:rsidR="000C48EE" w:rsidRPr="004A3FC8" w:rsidRDefault="00844A04" w:rsidP="002404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E0710">
              <w:rPr>
                <w:sz w:val="22"/>
                <w:szCs w:val="22"/>
              </w:rPr>
              <w:t>В Приложении 3 в перечень индикаторов риска включено поступление в Контрольный орган обращения или информации о нарушениях. Данное не может являться индикатором риска, так как любое сообщение носит субъективный характер и не всегда отражает фактические обстоятельства дела.</w:t>
            </w:r>
          </w:p>
        </w:tc>
        <w:tc>
          <w:tcPr>
            <w:tcW w:w="1134" w:type="dxa"/>
            <w:shd w:val="clear" w:color="auto" w:fill="auto"/>
          </w:tcPr>
          <w:p w:rsidR="000C48EE" w:rsidRPr="00285646" w:rsidRDefault="000C48EE" w:rsidP="000C4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  <w:shd w:val="clear" w:color="auto" w:fill="auto"/>
          </w:tcPr>
          <w:p w:rsidR="009F0DE5" w:rsidRPr="00AE0710" w:rsidRDefault="002A7608" w:rsidP="00AE07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710">
              <w:rPr>
                <w:sz w:val="22"/>
                <w:szCs w:val="22"/>
              </w:rPr>
              <w:t>Замечания</w:t>
            </w:r>
            <w:r w:rsidR="004A3FBC" w:rsidRPr="00AE0710">
              <w:rPr>
                <w:sz w:val="22"/>
                <w:szCs w:val="22"/>
              </w:rPr>
              <w:t xml:space="preserve"> не</w:t>
            </w:r>
            <w:r w:rsidRPr="00AE0710">
              <w:rPr>
                <w:sz w:val="22"/>
                <w:szCs w:val="22"/>
              </w:rPr>
              <w:t xml:space="preserve"> учтены. </w:t>
            </w:r>
            <w:r w:rsidR="009F0DE5" w:rsidRPr="00AE0710">
              <w:rPr>
                <w:sz w:val="22"/>
                <w:szCs w:val="22"/>
              </w:rPr>
              <w:t xml:space="preserve">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 регламентирован ст.24 Федерального закона от 31.07.2020 N 248-ФЗ (ред. от 11.06.2021) "О государственном контроле (надзоре) и муниципальном контроле в Российской Федерации". Перечень индикаторов риска </w:t>
            </w:r>
          </w:p>
          <w:p w:rsidR="009F0DE5" w:rsidRPr="00AE0710" w:rsidRDefault="009F0DE5" w:rsidP="00AE07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710">
              <w:rPr>
                <w:sz w:val="22"/>
                <w:szCs w:val="22"/>
              </w:rPr>
              <w:t xml:space="preserve">нарушения обязательных требований, проверяемых в рамках осуществления муниципального контроля в сфере благоустройства, </w:t>
            </w:r>
            <w:proofErr w:type="gramStart"/>
            <w:r w:rsidRPr="00AE0710">
              <w:rPr>
                <w:sz w:val="22"/>
                <w:szCs w:val="22"/>
              </w:rPr>
              <w:t>приведенный</w:t>
            </w:r>
            <w:proofErr w:type="gramEnd"/>
            <w:r w:rsidRPr="00AE0710">
              <w:rPr>
                <w:sz w:val="22"/>
                <w:szCs w:val="22"/>
              </w:rPr>
              <w:t xml:space="preserve"> в </w:t>
            </w:r>
            <w:r w:rsidR="00D032F7" w:rsidRPr="00AE0710">
              <w:rPr>
                <w:sz w:val="22"/>
                <w:szCs w:val="22"/>
              </w:rPr>
              <w:t xml:space="preserve">Приложении 3 к </w:t>
            </w:r>
            <w:r w:rsidRPr="00AE0710">
              <w:rPr>
                <w:sz w:val="22"/>
                <w:szCs w:val="22"/>
              </w:rPr>
              <w:t>Положени</w:t>
            </w:r>
            <w:r w:rsidR="00D032F7" w:rsidRPr="00AE0710">
              <w:rPr>
                <w:sz w:val="22"/>
                <w:szCs w:val="22"/>
              </w:rPr>
              <w:t>ю</w:t>
            </w:r>
            <w:r w:rsidRPr="00AE0710">
              <w:rPr>
                <w:sz w:val="22"/>
                <w:szCs w:val="22"/>
              </w:rPr>
              <w:t xml:space="preserve"> не противоречит Федеральному законодательству.</w:t>
            </w:r>
          </w:p>
          <w:p w:rsidR="00436DEE" w:rsidRPr="00AE0710" w:rsidRDefault="00436DEE" w:rsidP="00AE07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E0710">
              <w:rPr>
                <w:sz w:val="22"/>
                <w:szCs w:val="22"/>
              </w:rPr>
              <w:t xml:space="preserve">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а также принятие решения по итогам рассмотрения сведений о причинении вреда (ущерба) или об угрозе причинения вреда (ущерба) охраняемым законом ценностям регламентируются ст.59-60 </w:t>
            </w:r>
            <w:r w:rsidR="00D032F7" w:rsidRPr="00AE0710">
              <w:rPr>
                <w:sz w:val="22"/>
                <w:szCs w:val="22"/>
              </w:rPr>
              <w:t>Федерального закона от 31.07.2020 N 248-ФЗ (ред. от 11.06.2021) "О государственном контроле (надзоре) и</w:t>
            </w:r>
            <w:proofErr w:type="gramEnd"/>
            <w:r w:rsidR="00D032F7" w:rsidRPr="00AE0710">
              <w:rPr>
                <w:sz w:val="22"/>
                <w:szCs w:val="22"/>
              </w:rPr>
              <w:t xml:space="preserve"> муниципальном </w:t>
            </w:r>
            <w:proofErr w:type="gramStart"/>
            <w:r w:rsidR="00D032F7" w:rsidRPr="00AE0710">
              <w:rPr>
                <w:sz w:val="22"/>
                <w:szCs w:val="22"/>
              </w:rPr>
              <w:t>контроле</w:t>
            </w:r>
            <w:proofErr w:type="gramEnd"/>
            <w:r w:rsidR="00D032F7" w:rsidRPr="00AE0710">
              <w:rPr>
                <w:sz w:val="22"/>
                <w:szCs w:val="22"/>
              </w:rPr>
              <w:t xml:space="preserve"> в Российской Федерации".</w:t>
            </w:r>
          </w:p>
          <w:p w:rsidR="000C48EE" w:rsidRPr="00AE0710" w:rsidRDefault="00436DEE" w:rsidP="00AE07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221"/>
              <w:rPr>
                <w:sz w:val="22"/>
                <w:szCs w:val="22"/>
              </w:rPr>
            </w:pPr>
            <w:r w:rsidRPr="00AE0710">
              <w:rPr>
                <w:sz w:val="22"/>
                <w:szCs w:val="22"/>
              </w:rPr>
              <w:t xml:space="preserve"> Сведения о действиях (бездействии), которые могут свидетельствовать о наличии нарушения правил благоустройства территории Починковского муниципального округа Нижегородской области и риска причинения вреда (ущерба) охраняемым законом ценностям, поступающие в Контрольный (надзорный орган)</w:t>
            </w:r>
            <w:r w:rsidR="00A335B2" w:rsidRPr="00AE0710">
              <w:rPr>
                <w:sz w:val="22"/>
                <w:szCs w:val="22"/>
              </w:rPr>
              <w:t xml:space="preserve">, проходят проверку в соответствии вышеуказанными нормами Федерального законодательства. </w:t>
            </w:r>
            <w:r w:rsidRPr="00AE0710">
              <w:rPr>
                <w:sz w:val="22"/>
                <w:szCs w:val="22"/>
              </w:rPr>
              <w:t xml:space="preserve"> </w:t>
            </w:r>
          </w:p>
        </w:tc>
      </w:tr>
      <w:tr w:rsidR="000C48EE" w:rsidRPr="00285646" w:rsidTr="00285646">
        <w:tc>
          <w:tcPr>
            <w:tcW w:w="680" w:type="dxa"/>
          </w:tcPr>
          <w:p w:rsidR="000C48EE" w:rsidRPr="00285646" w:rsidRDefault="00285646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35" w:type="dxa"/>
          </w:tcPr>
          <w:p w:rsidR="000C48EE" w:rsidRPr="0003068A" w:rsidRDefault="00844A04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068A">
              <w:rPr>
                <w:rFonts w:eastAsia="Calibri"/>
                <w:sz w:val="22"/>
                <w:szCs w:val="22"/>
                <w:lang w:eastAsia="en-US"/>
              </w:rPr>
              <w:t>Положением не регламентируется процедура подачи и рассмотрения возражений на акт выездной проверки (ст.89 Закона №248-ФЗ)</w:t>
            </w:r>
          </w:p>
        </w:tc>
        <w:tc>
          <w:tcPr>
            <w:tcW w:w="1134" w:type="dxa"/>
          </w:tcPr>
          <w:p w:rsidR="000C48EE" w:rsidRPr="0003068A" w:rsidRDefault="000C48EE" w:rsidP="000C4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068A">
              <w:rPr>
                <w:sz w:val="22"/>
                <w:szCs w:val="22"/>
              </w:rPr>
              <w:t>Аппарат уполномоченного по защите прав предприн</w:t>
            </w:r>
            <w:r w:rsidRPr="0003068A">
              <w:rPr>
                <w:sz w:val="22"/>
                <w:szCs w:val="22"/>
              </w:rPr>
              <w:lastRenderedPageBreak/>
              <w:t>имателей в Нижегородской области</w:t>
            </w:r>
          </w:p>
        </w:tc>
        <w:tc>
          <w:tcPr>
            <w:tcW w:w="4479" w:type="dxa"/>
          </w:tcPr>
          <w:p w:rsidR="000C48EE" w:rsidRPr="0003068A" w:rsidRDefault="00AE138C" w:rsidP="00714391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6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Оставлено без изменений. Процедура подачи и рассмотрения возражений на акт выездной проверки регламентируется </w:t>
            </w:r>
            <w:r w:rsidR="00EF22A4" w:rsidRPr="000306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пунктом 4.1.11 Положения, порядок досудебного обжалования </w:t>
            </w:r>
            <w:r w:rsidR="00714391" w:rsidRPr="000306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отражен в</w:t>
            </w:r>
            <w:r w:rsidR="00EF22A4" w:rsidRPr="000306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раздел</w:t>
            </w:r>
            <w:r w:rsidR="00714391" w:rsidRPr="000306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="00EF22A4" w:rsidRPr="000306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5 Положения и соответствует нормам </w:t>
            </w:r>
            <w:r w:rsidR="00EF22A4" w:rsidRPr="000306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Федерального законодательства</w:t>
            </w:r>
            <w:r w:rsidR="00714391" w:rsidRPr="000306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="00EF22A4" w:rsidRPr="000306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9CD" w:rsidRPr="00285646" w:rsidTr="00285646">
        <w:tc>
          <w:tcPr>
            <w:tcW w:w="680" w:type="dxa"/>
          </w:tcPr>
          <w:p w:rsidR="00D379CD" w:rsidRPr="00285646" w:rsidRDefault="00D379CD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646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35" w:type="dxa"/>
          </w:tcPr>
          <w:p w:rsidR="00D379CD" w:rsidRPr="003358F2" w:rsidRDefault="00844A04" w:rsidP="00547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58F2">
              <w:rPr>
                <w:rFonts w:eastAsia="Calibri"/>
                <w:sz w:val="22"/>
                <w:szCs w:val="22"/>
                <w:lang w:eastAsia="en-US"/>
              </w:rPr>
              <w:t xml:space="preserve">П.3.3.5 содержит перечень вопросов, по которым осуществляется письменное консультирование. Данный перечень целесообразно дополнить вопросами порядка выполнения предписания, выданного по итогам контрольного мероприятия. На практике </w:t>
            </w:r>
            <w:r w:rsidR="00272391" w:rsidRPr="003358F2">
              <w:rPr>
                <w:rFonts w:eastAsia="Calibri"/>
                <w:sz w:val="22"/>
                <w:szCs w:val="22"/>
                <w:lang w:eastAsia="en-US"/>
              </w:rPr>
              <w:t>возникают случаи, когда контролируемое лицо затрудняется исполнить предписание вследствие неконкретных формулировок, ошибок и т.п.</w:t>
            </w:r>
          </w:p>
        </w:tc>
        <w:tc>
          <w:tcPr>
            <w:tcW w:w="1134" w:type="dxa"/>
          </w:tcPr>
          <w:p w:rsidR="00D379CD" w:rsidRPr="00285646" w:rsidRDefault="00D379CD" w:rsidP="00D379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7333C9" w:rsidRPr="004A3FC8" w:rsidRDefault="007333C9" w:rsidP="007333C9">
            <w:pPr>
              <w:pStyle w:val="ConsPlusNormal"/>
              <w:ind w:firstLine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Замечания учтены. Пункт 3.3.5 изложен в новой редакции: «</w:t>
            </w:r>
            <w:r w:rsidRPr="004A3FC8">
              <w:rPr>
                <w:rFonts w:ascii="Times New Roman" w:eastAsia="Calibri" w:hAnsi="Times New Roman"/>
                <w:szCs w:val="22"/>
                <w:lang w:eastAsia="en-US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7333C9" w:rsidRPr="004A3FC8" w:rsidRDefault="007333C9" w:rsidP="007333C9">
            <w:pPr>
              <w:pStyle w:val="ConsPlusNormal"/>
              <w:ind w:firstLine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A3FC8">
              <w:rPr>
                <w:rFonts w:ascii="Times New Roman" w:eastAsia="Calibri" w:hAnsi="Times New Roman"/>
                <w:szCs w:val="22"/>
                <w:lang w:eastAsia="en-US"/>
              </w:rPr>
              <w:t>1) порядок обжалования решений Контрольного (надзорного)  органа;</w:t>
            </w:r>
          </w:p>
          <w:p w:rsidR="007333C9" w:rsidRPr="004A3FC8" w:rsidRDefault="007333C9" w:rsidP="007333C9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A3FC8">
              <w:rPr>
                <w:rFonts w:ascii="Times New Roman" w:eastAsia="Calibri" w:hAnsi="Times New Roman"/>
                <w:szCs w:val="22"/>
                <w:lang w:eastAsia="en-US"/>
              </w:rPr>
              <w:t>2) порядка выполнения выданного предписания</w:t>
            </w:r>
            <w:proofErr w:type="gramStart"/>
            <w:r w:rsidRPr="004A3FC8">
              <w:rPr>
                <w:rFonts w:ascii="Times New Roman" w:eastAsia="Calibri" w:hAnsi="Times New Roman"/>
                <w:szCs w:val="22"/>
                <w:lang w:eastAsia="en-US"/>
              </w:rPr>
              <w:t>.»</w:t>
            </w:r>
            <w:proofErr w:type="gramEnd"/>
          </w:p>
          <w:p w:rsidR="00F84943" w:rsidRPr="00285646" w:rsidRDefault="00F84943" w:rsidP="00225A99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2419B" w:rsidRPr="00285646" w:rsidTr="00285646">
        <w:tc>
          <w:tcPr>
            <w:tcW w:w="680" w:type="dxa"/>
          </w:tcPr>
          <w:p w:rsidR="0002419B" w:rsidRPr="00285646" w:rsidRDefault="0002419B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35" w:type="dxa"/>
          </w:tcPr>
          <w:p w:rsidR="0002419B" w:rsidRPr="003358F2" w:rsidRDefault="0002419B" w:rsidP="008E22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58F2">
              <w:rPr>
                <w:rFonts w:eastAsia="Calibri"/>
                <w:sz w:val="22"/>
                <w:szCs w:val="22"/>
                <w:lang w:eastAsia="en-US"/>
              </w:rPr>
              <w:t>П.4.5.5 определен порядок предоставления доступа к материалам фотосъемки, аудио и т.</w:t>
            </w:r>
            <w:r w:rsidR="008E22D3" w:rsidRPr="003358F2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3358F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E22D3" w:rsidRPr="003358F2">
              <w:rPr>
                <w:rFonts w:eastAsia="Calibri"/>
                <w:sz w:val="22"/>
                <w:szCs w:val="22"/>
                <w:lang w:eastAsia="en-US"/>
              </w:rPr>
              <w:t xml:space="preserve"> При  этом</w:t>
            </w:r>
            <w:proofErr w:type="gramStart"/>
            <w:r w:rsidR="00E8227D" w:rsidRPr="003358F2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="00E8227D" w:rsidRPr="003358F2">
              <w:rPr>
                <w:rFonts w:eastAsia="Calibri"/>
                <w:sz w:val="22"/>
                <w:szCs w:val="22"/>
                <w:lang w:eastAsia="en-US"/>
              </w:rPr>
              <w:t xml:space="preserve"> на контролируемое лицо возложена дополнительная обязанность по формированию логина и пароля для предоставления доступа. Данное положение может являться обременительным для субъекта предпринимательской деятельности, особенно в случае отсутствия технической возможности организации доступа в описываемом формате.</w:t>
            </w:r>
          </w:p>
        </w:tc>
        <w:tc>
          <w:tcPr>
            <w:tcW w:w="1134" w:type="dxa"/>
          </w:tcPr>
          <w:p w:rsidR="0002419B" w:rsidRPr="00285646" w:rsidRDefault="0002419B" w:rsidP="00D379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311DD8" w:rsidRPr="00311DD8" w:rsidRDefault="00311DD8" w:rsidP="00311DD8">
            <w:pPr>
              <w:pStyle w:val="ConsPlusNormal"/>
              <w:ind w:firstLine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Замечания учтены. Пункт 4.5.5 изложен в новой редакции: «</w:t>
            </w:r>
            <w:r w:rsidRPr="00311DD8">
              <w:rPr>
                <w:rFonts w:ascii="Times New Roman" w:eastAsia="Calibri" w:hAnsi="Times New Roman"/>
                <w:szCs w:val="22"/>
                <w:lang w:eastAsia="en-US"/>
              </w:rPr>
              <w:t>В ходе проведения контрольного (надзорного)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      </w:r>
          </w:p>
          <w:p w:rsidR="0002419B" w:rsidRPr="00285646" w:rsidRDefault="00311DD8" w:rsidP="00311DD8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1DD8">
              <w:rPr>
                <w:rFonts w:ascii="Times New Roman" w:eastAsia="Calibri" w:hAnsi="Times New Roman" w:cs="Calibri"/>
                <w:sz w:val="22"/>
                <w:szCs w:val="22"/>
                <w:lang w:eastAsia="en-US"/>
              </w:rPr>
              <w:t>Контролируемое лицо в срок, указанный в требовании о представлении документов, направляет истребуемые документы в Контрольный (надзорный)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</w:t>
            </w:r>
            <w:proofErr w:type="gramStart"/>
            <w:r w:rsidRPr="00311DD8">
              <w:rPr>
                <w:rFonts w:ascii="Times New Roman" w:eastAsia="Calibri" w:hAnsi="Times New Roman" w:cs="Calibri"/>
                <w:sz w:val="22"/>
                <w:szCs w:val="22"/>
                <w:lang w:eastAsia="en-US"/>
              </w:rPr>
              <w:t>.»</w:t>
            </w:r>
            <w:proofErr w:type="gramEnd"/>
          </w:p>
        </w:tc>
      </w:tr>
      <w:tr w:rsidR="002911F8" w:rsidRPr="00285646" w:rsidTr="00285646">
        <w:tc>
          <w:tcPr>
            <w:tcW w:w="680" w:type="dxa"/>
          </w:tcPr>
          <w:p w:rsidR="002911F8" w:rsidRDefault="002911F8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35" w:type="dxa"/>
          </w:tcPr>
          <w:p w:rsidR="002911F8" w:rsidRPr="003358F2" w:rsidRDefault="00E8227D" w:rsidP="00E822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58F2">
              <w:rPr>
                <w:rFonts w:eastAsia="Calibri"/>
                <w:sz w:val="22"/>
                <w:szCs w:val="22"/>
                <w:lang w:eastAsia="en-US"/>
              </w:rPr>
              <w:t xml:space="preserve">П.4.6.14 в перечень контролируемых лиц, которые могут представить в контролируемый орган информацию о невозможности присутствовать при проведении контрольных мероприятий, не включены представители юридических лиц, что является ущемлением права присутствовать при проведении профилактического мероприятия, контрольного (надзорного) мероприятия, давать пояснения по вопросам их проведения, </w:t>
            </w:r>
            <w:r w:rsidRPr="003358F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предусмотренного ст.36 Закона №248-ФЗ.</w:t>
            </w:r>
          </w:p>
        </w:tc>
        <w:tc>
          <w:tcPr>
            <w:tcW w:w="1134" w:type="dxa"/>
          </w:tcPr>
          <w:p w:rsidR="002911F8" w:rsidRPr="00285646" w:rsidRDefault="002911F8" w:rsidP="002911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lastRenderedPageBreak/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4A3FC8" w:rsidRPr="004A3FC8" w:rsidRDefault="004A3FC8" w:rsidP="004A3FC8">
            <w:pPr>
              <w:pStyle w:val="a4"/>
              <w:widowControl/>
              <w:tabs>
                <w:tab w:val="left" w:pos="1134"/>
              </w:tabs>
              <w:ind w:left="0" w:firstLine="709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Замечания учтены. Пункт 4.6.14 изложен в новой редакции: «</w:t>
            </w:r>
            <w:r w:rsidRPr="004A3F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Контролируемые лица, вправе представить в Контрольный (надзорный) орган информацию о невозможности присутствия при проведении контрольных (надзорных) мероприятий в случаях:</w:t>
            </w:r>
          </w:p>
          <w:p w:rsidR="004A3FC8" w:rsidRPr="004A3FC8" w:rsidRDefault="004A3FC8" w:rsidP="004A3FC8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4A3FC8">
              <w:rPr>
                <w:rFonts w:eastAsia="Calibri"/>
                <w:sz w:val="22"/>
                <w:szCs w:val="22"/>
                <w:lang w:eastAsia="en-US"/>
              </w:rPr>
              <w:t>1) временной нетрудоспособности;</w:t>
            </w:r>
          </w:p>
          <w:p w:rsidR="004A3FC8" w:rsidRPr="004A3FC8" w:rsidRDefault="004A3FC8" w:rsidP="004A3FC8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4A3FC8">
              <w:rPr>
                <w:rFonts w:eastAsia="Calibri"/>
                <w:sz w:val="22"/>
                <w:szCs w:val="22"/>
                <w:lang w:eastAsia="en-US"/>
              </w:rPr>
              <w:t>2) необходимости явки по вызову (извещениям, повесткам) судов, правоохранительных органов, военных комиссариатов;</w:t>
            </w:r>
          </w:p>
          <w:p w:rsidR="004A3FC8" w:rsidRPr="004A3FC8" w:rsidRDefault="004A3FC8" w:rsidP="004A3FC8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4A3FC8">
              <w:rPr>
                <w:rFonts w:eastAsia="Calibri"/>
                <w:sz w:val="22"/>
                <w:szCs w:val="22"/>
                <w:lang w:eastAsia="en-US"/>
              </w:rPr>
              <w:t xml:space="preserve">3) избрания в соответствии с </w:t>
            </w:r>
            <w:r w:rsidRPr="004A3FC8">
              <w:rPr>
                <w:rFonts w:eastAsia="Calibri"/>
                <w:sz w:val="22"/>
                <w:szCs w:val="22"/>
                <w:lang w:eastAsia="en-US"/>
              </w:rPr>
              <w:lastRenderedPageBreak/>
              <w:t>Уголовно-процессуальным кодексом Российской Федерации меры пресечения, исключающей возможность присутствия при проведении контрольных (надзорных) мероприятий;</w:t>
            </w:r>
          </w:p>
          <w:p w:rsidR="004A3FC8" w:rsidRPr="004A3FC8" w:rsidRDefault="004A3FC8" w:rsidP="004A3FC8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4A3FC8">
              <w:rPr>
                <w:rFonts w:eastAsia="Calibri"/>
                <w:sz w:val="22"/>
                <w:szCs w:val="22"/>
                <w:lang w:eastAsia="en-US"/>
              </w:rPr>
              <w:t>4) нахождения в служебной командировке.</w:t>
            </w:r>
          </w:p>
          <w:p w:rsidR="002911F8" w:rsidRPr="004A3FC8" w:rsidRDefault="004A3FC8" w:rsidP="004A3FC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C8">
              <w:rPr>
                <w:rFonts w:ascii="Times New Roman" w:eastAsia="Calibri" w:hAnsi="Times New Roman" w:cs="Times New Roman"/>
                <w:szCs w:val="22"/>
                <w:lang w:eastAsia="en-US"/>
              </w:rPr>
              <w:t>При поступлении информации проведение контрольных (надзорных) мероприятий переносится Контрольным (надзорным) органом на срок, необходимый для устранения обстоятельств, послуживших поводом для данного обращения контролируемого лица</w:t>
            </w:r>
            <w:proofErr w:type="gramStart"/>
            <w:r w:rsidRPr="004A3FC8">
              <w:rPr>
                <w:rFonts w:ascii="Times New Roman" w:eastAsia="Calibri" w:hAnsi="Times New Roman" w:cs="Times New Roman"/>
                <w:szCs w:val="22"/>
                <w:lang w:eastAsia="en-US"/>
              </w:rPr>
              <w:t>.»</w:t>
            </w:r>
            <w:proofErr w:type="gramEnd"/>
          </w:p>
        </w:tc>
      </w:tr>
      <w:tr w:rsidR="00D7418F" w:rsidRPr="00285646" w:rsidTr="00285646">
        <w:tc>
          <w:tcPr>
            <w:tcW w:w="680" w:type="dxa"/>
          </w:tcPr>
          <w:p w:rsidR="00D7418F" w:rsidRDefault="00D7418F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635" w:type="dxa"/>
          </w:tcPr>
          <w:p w:rsidR="00D7418F" w:rsidRPr="003358F2" w:rsidRDefault="00E8227D" w:rsidP="00452D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58F2">
              <w:rPr>
                <w:rFonts w:eastAsia="Calibri"/>
                <w:sz w:val="22"/>
                <w:szCs w:val="22"/>
                <w:lang w:eastAsia="en-US"/>
              </w:rPr>
              <w:t>П.4.7.4 не содержит общего срока проведения рейдового осмотра, который согласно п.7 ст.71 Закона №48-ФЗ не может превышать десять рабочих дней.</w:t>
            </w:r>
          </w:p>
        </w:tc>
        <w:tc>
          <w:tcPr>
            <w:tcW w:w="1134" w:type="dxa"/>
          </w:tcPr>
          <w:p w:rsidR="00D7418F" w:rsidRPr="00285646" w:rsidRDefault="00D7418F" w:rsidP="00D741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4A3FC8" w:rsidRPr="004A3FC8" w:rsidRDefault="004A3FC8" w:rsidP="004A3FC8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Замечания учтены, пункт 4.7.4 изложен в новой редакции: «</w:t>
            </w:r>
            <w:r w:rsidRPr="004A3FC8">
              <w:rPr>
                <w:rFonts w:eastAsia="Calibri"/>
                <w:sz w:val="22"/>
                <w:szCs w:val="22"/>
                <w:lang w:eastAsia="en-US"/>
              </w:rPr>
              <w:t xml:space="preserve"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 Срок проведения рейдового осмотра не может превышать десять рабочих дней. </w:t>
            </w:r>
          </w:p>
          <w:p w:rsidR="004A3FC8" w:rsidRPr="004A3FC8" w:rsidRDefault="004A3FC8" w:rsidP="004A3FC8">
            <w:pPr>
              <w:pStyle w:val="HTML"/>
              <w:ind w:firstLine="709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A3F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 взаимодействия с одним контролируемым лицом в период проведения рейдового осмотра не может превышать один рабочий день</w:t>
            </w:r>
            <w:proofErr w:type="gramStart"/>
            <w:r w:rsidRPr="004A3F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»</w:t>
            </w:r>
            <w:proofErr w:type="gramEnd"/>
          </w:p>
          <w:p w:rsidR="00B50A67" w:rsidRPr="00B50A67" w:rsidRDefault="00B50A67" w:rsidP="001F624E">
            <w:pPr>
              <w:pStyle w:val="a4"/>
              <w:widowControl/>
              <w:tabs>
                <w:tab w:val="left" w:pos="1134"/>
              </w:tabs>
              <w:ind w:left="0" w:firstLine="221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50A67" w:rsidRPr="00285646" w:rsidTr="00285646">
        <w:tc>
          <w:tcPr>
            <w:tcW w:w="680" w:type="dxa"/>
          </w:tcPr>
          <w:p w:rsidR="00B50A67" w:rsidRDefault="00B50A67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35" w:type="dxa"/>
          </w:tcPr>
          <w:p w:rsidR="00B50A67" w:rsidRDefault="00E8227D" w:rsidP="00452D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П.3.3.1 – перечень вопросов, по которому проводится консультирование, целесообразно дополнить вопросами категорирования риска, чтобы контролируемое лицо мог получить актуальную информацию о том, к какой категории риска оно относится и связанные с этим сведения. Согласно п.3 ст.50 Закона №248-ФЗ порядок консультирования, перечень вопросов, по которым осуществляется </w:t>
            </w:r>
            <w:r w:rsidR="00D272DB">
              <w:rPr>
                <w:rFonts w:eastAsia="Calibri"/>
                <w:sz w:val="22"/>
                <w:szCs w:val="22"/>
                <w:lang w:eastAsia="en-US"/>
              </w:rPr>
              <w:t xml:space="preserve">письменное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консультирование</w:t>
            </w:r>
            <w:r w:rsidR="00D272DB">
              <w:rPr>
                <w:rFonts w:eastAsia="Calibri"/>
                <w:sz w:val="22"/>
                <w:szCs w:val="22"/>
                <w:lang w:eastAsia="en-US"/>
              </w:rPr>
              <w:t>, определяются положением о виде контроля</w:t>
            </w:r>
          </w:p>
        </w:tc>
        <w:tc>
          <w:tcPr>
            <w:tcW w:w="1134" w:type="dxa"/>
          </w:tcPr>
          <w:p w:rsidR="00B50A67" w:rsidRPr="00285646" w:rsidRDefault="00B50A67" w:rsidP="00B50A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646">
              <w:rPr>
                <w:sz w:val="22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4479" w:type="dxa"/>
          </w:tcPr>
          <w:p w:rsidR="00453B9B" w:rsidRPr="00453B9B" w:rsidRDefault="00453B9B" w:rsidP="00453B9B">
            <w:pPr>
              <w:pStyle w:val="ConsPlusNormal"/>
              <w:ind w:firstLine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Замечания учтены. Пункт 3.3.1 изложен в новой редакции: «</w:t>
            </w:r>
            <w:r w:rsidRPr="00453B9B">
              <w:rPr>
                <w:rFonts w:ascii="Times New Roman" w:eastAsia="Calibri" w:hAnsi="Times New Roman"/>
                <w:szCs w:val="22"/>
                <w:lang w:eastAsia="en-US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453B9B" w:rsidRPr="00453B9B" w:rsidRDefault="00453B9B" w:rsidP="00453B9B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53B9B">
              <w:rPr>
                <w:rFonts w:ascii="Times New Roman" w:eastAsia="Calibri" w:hAnsi="Times New Roman"/>
                <w:szCs w:val="22"/>
                <w:lang w:eastAsia="en-US"/>
              </w:rPr>
              <w:t>1) порядка проведения контрольных (надзорных) мероприятий;</w:t>
            </w:r>
          </w:p>
          <w:p w:rsidR="00453B9B" w:rsidRPr="00453B9B" w:rsidRDefault="00453B9B" w:rsidP="00453B9B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53B9B">
              <w:rPr>
                <w:rFonts w:ascii="Times New Roman" w:eastAsia="Calibri" w:hAnsi="Times New Roman"/>
                <w:szCs w:val="22"/>
                <w:lang w:eastAsia="en-US"/>
              </w:rPr>
              <w:t>2) периодичности проведения контрольных (надзорных) мероприятий;</w:t>
            </w:r>
          </w:p>
          <w:p w:rsidR="00453B9B" w:rsidRPr="00453B9B" w:rsidRDefault="00453B9B" w:rsidP="00453B9B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53B9B">
              <w:rPr>
                <w:rFonts w:ascii="Times New Roman" w:eastAsia="Calibri" w:hAnsi="Times New Roman"/>
                <w:szCs w:val="22"/>
                <w:lang w:eastAsia="en-US"/>
              </w:rPr>
              <w:t>3) порядка принятия решений по итогам контрольных (надзорных) мероприятий;</w:t>
            </w:r>
          </w:p>
          <w:p w:rsidR="00453B9B" w:rsidRPr="00453B9B" w:rsidRDefault="00453B9B" w:rsidP="00453B9B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53B9B">
              <w:rPr>
                <w:rFonts w:ascii="Times New Roman" w:eastAsia="Calibri" w:hAnsi="Times New Roman"/>
                <w:szCs w:val="22"/>
                <w:lang w:eastAsia="en-US"/>
              </w:rPr>
              <w:t>4) порядка обжалования решений Контрольного (надзорного)  органа;</w:t>
            </w:r>
          </w:p>
          <w:p w:rsidR="00453B9B" w:rsidRPr="00453B9B" w:rsidRDefault="00453B9B" w:rsidP="00453B9B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53B9B">
              <w:rPr>
                <w:rFonts w:ascii="Times New Roman" w:eastAsia="Calibri" w:hAnsi="Times New Roman"/>
                <w:szCs w:val="22"/>
                <w:lang w:eastAsia="en-US"/>
              </w:rPr>
              <w:t>5) отнесения объектов контроля к категориям риска в рамках осуществления муниципального контроля;</w:t>
            </w:r>
          </w:p>
          <w:p w:rsidR="00B50A67" w:rsidRPr="00453B9B" w:rsidRDefault="00453B9B" w:rsidP="00453B9B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9B">
              <w:rPr>
                <w:rFonts w:ascii="Times New Roman" w:eastAsia="Calibri" w:hAnsi="Times New Roman"/>
                <w:szCs w:val="22"/>
                <w:lang w:eastAsia="en-US"/>
              </w:rPr>
              <w:t>6) порядка выполнения выданного предписания</w:t>
            </w:r>
            <w:proofErr w:type="gramStart"/>
            <w:r w:rsidRPr="00453B9B">
              <w:rPr>
                <w:rFonts w:ascii="Times New Roman" w:eastAsia="Calibri" w:hAnsi="Times New Roman"/>
                <w:szCs w:val="22"/>
                <w:lang w:eastAsia="en-US"/>
              </w:rPr>
              <w:t>.»</w:t>
            </w:r>
            <w:proofErr w:type="gramEnd"/>
          </w:p>
        </w:tc>
      </w:tr>
      <w:tr w:rsidR="00D228DD" w:rsidRPr="00285646" w:rsidTr="00285646">
        <w:tc>
          <w:tcPr>
            <w:tcW w:w="680" w:type="dxa"/>
          </w:tcPr>
          <w:p w:rsidR="00D228DD" w:rsidRDefault="00D228DD" w:rsidP="00FA23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35" w:type="dxa"/>
          </w:tcPr>
          <w:p w:rsidR="00D228DD" w:rsidRDefault="00F06657" w:rsidP="00452D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Замечаний и предложений нет</w:t>
            </w:r>
          </w:p>
        </w:tc>
        <w:tc>
          <w:tcPr>
            <w:tcW w:w="1134" w:type="dxa"/>
          </w:tcPr>
          <w:p w:rsidR="00D228DD" w:rsidRPr="00285646" w:rsidRDefault="00D228DD" w:rsidP="00B50A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23A0">
              <w:t>АНО «Центр развития предпринимательства Починковского  муниципал</w:t>
            </w:r>
            <w:r w:rsidRPr="00FA23A0">
              <w:lastRenderedPageBreak/>
              <w:t>ьного района»</w:t>
            </w:r>
          </w:p>
        </w:tc>
        <w:tc>
          <w:tcPr>
            <w:tcW w:w="4479" w:type="dxa"/>
          </w:tcPr>
          <w:p w:rsidR="00D228DD" w:rsidRDefault="00F06657" w:rsidP="00453B9B">
            <w:pPr>
              <w:pStyle w:val="ConsPlusNormal"/>
              <w:ind w:firstLine="709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-</w:t>
            </w:r>
          </w:p>
        </w:tc>
      </w:tr>
    </w:tbl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AE47EC" w:rsidP="00AE47EC">
      <w:pPr>
        <w:rPr>
          <w:sz w:val="22"/>
          <w:szCs w:val="22"/>
        </w:rPr>
      </w:pPr>
    </w:p>
    <w:p w:rsidR="00D272DB" w:rsidRDefault="00781F4D" w:rsidP="00D272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EC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D272DB">
        <w:rPr>
          <w:rFonts w:ascii="Times New Roman" w:hAnsi="Times New Roman" w:cs="Times New Roman"/>
          <w:sz w:val="24"/>
          <w:szCs w:val="24"/>
        </w:rPr>
        <w:t>развития территорий</w:t>
      </w:r>
    </w:p>
    <w:p w:rsidR="002941D6" w:rsidRDefault="00781F4D" w:rsidP="00D272DB">
      <w:pPr>
        <w:pStyle w:val="ConsPlusNormal"/>
        <w:jc w:val="both"/>
        <w:rPr>
          <w:szCs w:val="22"/>
        </w:rPr>
      </w:pPr>
      <w:r w:rsidRPr="00B66EC4">
        <w:rPr>
          <w:sz w:val="24"/>
          <w:szCs w:val="24"/>
        </w:rPr>
        <w:t xml:space="preserve"> </w:t>
      </w:r>
      <w:r w:rsidRPr="00F80663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B66EC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  <w:r w:rsidRPr="00B66EC4">
        <w:rPr>
          <w:sz w:val="24"/>
          <w:szCs w:val="24"/>
        </w:rPr>
        <w:t xml:space="preserve">   </w:t>
      </w:r>
      <w:r w:rsidR="00D272DB">
        <w:rPr>
          <w:sz w:val="24"/>
          <w:szCs w:val="24"/>
        </w:rPr>
        <w:t xml:space="preserve">                                          </w:t>
      </w:r>
      <w:r w:rsidR="00D272DB">
        <w:rPr>
          <w:rFonts w:ascii="Times New Roman" w:hAnsi="Times New Roman" w:cs="Times New Roman"/>
          <w:sz w:val="24"/>
          <w:szCs w:val="24"/>
        </w:rPr>
        <w:t>Д.И.Ларин</w:t>
      </w:r>
    </w:p>
    <w:sectPr w:rsidR="002941D6" w:rsidSect="00FA23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7EC"/>
    <w:rsid w:val="0002419B"/>
    <w:rsid w:val="0003068A"/>
    <w:rsid w:val="000A794A"/>
    <w:rsid w:val="000C48EE"/>
    <w:rsid w:val="00174242"/>
    <w:rsid w:val="001F624E"/>
    <w:rsid w:val="00215316"/>
    <w:rsid w:val="00225A99"/>
    <w:rsid w:val="00240415"/>
    <w:rsid w:val="002618AD"/>
    <w:rsid w:val="00272391"/>
    <w:rsid w:val="00285646"/>
    <w:rsid w:val="00290A02"/>
    <w:rsid w:val="002911F8"/>
    <w:rsid w:val="00292B06"/>
    <w:rsid w:val="002941D6"/>
    <w:rsid w:val="002A7608"/>
    <w:rsid w:val="00311DD8"/>
    <w:rsid w:val="003358F2"/>
    <w:rsid w:val="003C5220"/>
    <w:rsid w:val="00436DEE"/>
    <w:rsid w:val="00447DBE"/>
    <w:rsid w:val="00452DB6"/>
    <w:rsid w:val="00453B9B"/>
    <w:rsid w:val="0049718D"/>
    <w:rsid w:val="004A3FBC"/>
    <w:rsid w:val="004A3FC8"/>
    <w:rsid w:val="004B288E"/>
    <w:rsid w:val="004C5954"/>
    <w:rsid w:val="005166A6"/>
    <w:rsid w:val="005325EF"/>
    <w:rsid w:val="0054708E"/>
    <w:rsid w:val="00562A9A"/>
    <w:rsid w:val="00612171"/>
    <w:rsid w:val="006D0B48"/>
    <w:rsid w:val="006F6DA5"/>
    <w:rsid w:val="00714391"/>
    <w:rsid w:val="007333C9"/>
    <w:rsid w:val="00781F4D"/>
    <w:rsid w:val="007B5D57"/>
    <w:rsid w:val="007E089C"/>
    <w:rsid w:val="00834E16"/>
    <w:rsid w:val="00844A04"/>
    <w:rsid w:val="008E22D3"/>
    <w:rsid w:val="009312B8"/>
    <w:rsid w:val="009B62E0"/>
    <w:rsid w:val="009F0DE5"/>
    <w:rsid w:val="00A335B2"/>
    <w:rsid w:val="00A64FA5"/>
    <w:rsid w:val="00AE0710"/>
    <w:rsid w:val="00AE138C"/>
    <w:rsid w:val="00AE47EC"/>
    <w:rsid w:val="00B205AC"/>
    <w:rsid w:val="00B2076B"/>
    <w:rsid w:val="00B24C7B"/>
    <w:rsid w:val="00B42675"/>
    <w:rsid w:val="00B50A67"/>
    <w:rsid w:val="00B607A7"/>
    <w:rsid w:val="00B765BC"/>
    <w:rsid w:val="00BC094B"/>
    <w:rsid w:val="00BD2A81"/>
    <w:rsid w:val="00CC34AA"/>
    <w:rsid w:val="00CD3F4A"/>
    <w:rsid w:val="00D032F7"/>
    <w:rsid w:val="00D228DD"/>
    <w:rsid w:val="00D272DB"/>
    <w:rsid w:val="00D379CD"/>
    <w:rsid w:val="00D7418F"/>
    <w:rsid w:val="00D76E6D"/>
    <w:rsid w:val="00DD3053"/>
    <w:rsid w:val="00DE7C1E"/>
    <w:rsid w:val="00E247AF"/>
    <w:rsid w:val="00E417D1"/>
    <w:rsid w:val="00E429F7"/>
    <w:rsid w:val="00E52993"/>
    <w:rsid w:val="00E8227D"/>
    <w:rsid w:val="00E975EA"/>
    <w:rsid w:val="00EF22A4"/>
    <w:rsid w:val="00F06657"/>
    <w:rsid w:val="00F50CF0"/>
    <w:rsid w:val="00F80663"/>
    <w:rsid w:val="00F84943"/>
    <w:rsid w:val="00FA23A0"/>
    <w:rsid w:val="00FB3086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11DD8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E47E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AE47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9F7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link w:val="a5"/>
    <w:qFormat/>
    <w:rsid w:val="006F6DA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customStyle="1" w:styleId="a5">
    <w:name w:val="Абзац списка Знак"/>
    <w:link w:val="a4"/>
    <w:locked/>
    <w:rsid w:val="006F6DA5"/>
    <w:rPr>
      <w:rFonts w:ascii="Arial" w:eastAsia="Times New Roman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7333C9"/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1DD8"/>
    <w:rPr>
      <w:rFonts w:ascii="XO Thames" w:eastAsia="Times New Roman" w:hAnsi="XO Thames" w:cs="Times New Roman"/>
      <w:b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Тамара</cp:lastModifiedBy>
  <cp:revision>31</cp:revision>
  <cp:lastPrinted>2021-09-14T11:02:00Z</cp:lastPrinted>
  <dcterms:created xsi:type="dcterms:W3CDTF">2021-08-16T08:06:00Z</dcterms:created>
  <dcterms:modified xsi:type="dcterms:W3CDTF">2021-09-14T13:03:00Z</dcterms:modified>
</cp:coreProperties>
</file>