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AB" w:rsidRPr="006148CF" w:rsidRDefault="00A34BAB" w:rsidP="006148CF">
      <w:pPr>
        <w:jc w:val="center"/>
        <w:rPr>
          <w:b/>
          <w:sz w:val="28"/>
          <w:szCs w:val="28"/>
        </w:rPr>
      </w:pPr>
      <w:r w:rsidRPr="006148CF">
        <w:rPr>
          <w:b/>
          <w:sz w:val="28"/>
          <w:szCs w:val="28"/>
        </w:rPr>
        <w:t>Отчет</w:t>
      </w:r>
    </w:p>
    <w:p w:rsidR="00A34BAB" w:rsidRPr="006148CF" w:rsidRDefault="00A34BAB" w:rsidP="006148CF">
      <w:pPr>
        <w:ind w:left="284"/>
        <w:jc w:val="center"/>
        <w:rPr>
          <w:b/>
          <w:sz w:val="28"/>
          <w:szCs w:val="28"/>
        </w:rPr>
      </w:pPr>
      <w:r w:rsidRPr="006148CF">
        <w:rPr>
          <w:b/>
          <w:sz w:val="28"/>
          <w:szCs w:val="28"/>
        </w:rPr>
        <w:t>управления  сельского хозяйства и земельной реформы  администрации</w:t>
      </w:r>
    </w:p>
    <w:p w:rsidR="00A34BAB" w:rsidRDefault="00A34BAB" w:rsidP="006148CF">
      <w:pPr>
        <w:ind w:left="284"/>
        <w:jc w:val="center"/>
        <w:rPr>
          <w:b/>
          <w:sz w:val="28"/>
          <w:szCs w:val="28"/>
        </w:rPr>
      </w:pPr>
      <w:r w:rsidRPr="006148CF">
        <w:rPr>
          <w:b/>
          <w:sz w:val="28"/>
          <w:szCs w:val="28"/>
        </w:rPr>
        <w:t>Починковского муниципального района  Нижегородской обла</w:t>
      </w:r>
      <w:r>
        <w:rPr>
          <w:b/>
          <w:sz w:val="28"/>
          <w:szCs w:val="28"/>
        </w:rPr>
        <w:t>сти о проделанной работе за 2015</w:t>
      </w:r>
      <w:r w:rsidRPr="006148CF">
        <w:rPr>
          <w:b/>
          <w:sz w:val="28"/>
          <w:szCs w:val="28"/>
        </w:rPr>
        <w:t xml:space="preserve"> год</w:t>
      </w:r>
    </w:p>
    <w:p w:rsidR="00A34BAB" w:rsidRPr="006148CF" w:rsidRDefault="00A34BAB" w:rsidP="006148CF">
      <w:pPr>
        <w:ind w:left="284"/>
        <w:jc w:val="center"/>
        <w:rPr>
          <w:b/>
          <w:sz w:val="28"/>
          <w:szCs w:val="28"/>
        </w:rPr>
      </w:pPr>
    </w:p>
    <w:p w:rsidR="00A34BAB" w:rsidRDefault="00A34BAB" w:rsidP="00F86420">
      <w:pPr>
        <w:ind w:firstLine="630"/>
        <w:jc w:val="both"/>
        <w:rPr>
          <w:sz w:val="28"/>
          <w:szCs w:val="28"/>
        </w:rPr>
      </w:pPr>
      <w:r>
        <w:rPr>
          <w:sz w:val="28"/>
        </w:rPr>
        <w:t xml:space="preserve"> Управление сельского хозяйства и земельной реформы администрации Починковского муниципального района Нижегородской области является структурным подразделением администрации района, осуществляющим </w:t>
      </w:r>
      <w:r w:rsidRPr="00F86420">
        <w:rPr>
          <w:sz w:val="28"/>
          <w:szCs w:val="28"/>
        </w:rPr>
        <w:t xml:space="preserve">государственное регулирование и координацию деятельности предприятий и других субъектов агропромышленного комплекса района сельской инфраструктуры, на основании Закона Нижегородской области от 11 ноября 2005 года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производства». </w:t>
      </w:r>
    </w:p>
    <w:p w:rsidR="00A34BAB" w:rsidRDefault="00A34BAB" w:rsidP="00F86420">
      <w:pPr>
        <w:ind w:firstLine="630"/>
        <w:jc w:val="both"/>
        <w:rPr>
          <w:sz w:val="28"/>
        </w:rPr>
      </w:pPr>
      <w:r>
        <w:rPr>
          <w:i/>
          <w:sz w:val="28"/>
        </w:rPr>
        <w:t xml:space="preserve"> </w:t>
      </w:r>
      <w:r w:rsidRPr="00F86420">
        <w:rPr>
          <w:i/>
          <w:sz w:val="28"/>
        </w:rPr>
        <w:t>Целью деятельности</w:t>
      </w:r>
      <w:r>
        <w:rPr>
          <w:sz w:val="28"/>
        </w:rPr>
        <w:t xml:space="preserve"> управления </w:t>
      </w:r>
      <w:r>
        <w:rPr>
          <w:sz w:val="28"/>
          <w:szCs w:val="28"/>
        </w:rPr>
        <w:t xml:space="preserve">сельского хозяйства и земельной  реформы администрации Починковского района </w:t>
      </w:r>
      <w:r>
        <w:rPr>
          <w:sz w:val="28"/>
        </w:rPr>
        <w:t>является развитие сельского хозяйства Починковского муниципального района Нижегородской области, его производственной и социальной инфраструктуры путем государственного регулирования и координации деятельности отраслей АПК во взаимодействии с другими секторами народного хозяйства.</w:t>
      </w:r>
    </w:p>
    <w:p w:rsidR="00A34BAB" w:rsidRDefault="00A34BAB" w:rsidP="00F86420">
      <w:pPr>
        <w:ind w:firstLine="630"/>
        <w:jc w:val="both"/>
        <w:rPr>
          <w:sz w:val="28"/>
          <w:szCs w:val="28"/>
        </w:rPr>
      </w:pPr>
      <w:r w:rsidRPr="00F86420">
        <w:rPr>
          <w:i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управления сельского хозяйства и земельной  реформы администрации Починковского района в 2016 году является: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 xml:space="preserve">  1. Обеспечение реализации законодательства Российской Федерации и Нижегородской области, других решений государственных органов власти и местного самоуправления, в том числе обеспечение государственного контроля, надзора, инспектирования в сельскохозяйственных предприятиях и организациях района в соответствии с требованиями действующего законодательства. Оценка получаемых результатов.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 xml:space="preserve"> 2.  Реализация программ путем использования программно – целевых методов и форм обеспечения работ и мероприятий по стабилизации и развитию агропромышленного комплекса (АПК) области.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>3. Реализация в районе государственной политики поддержки сельскохозяйственных производителей и других предприятий АПК и его секторов.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>4.   Содействие развитию в сельскохозяйственном производстве рыночных отношений, предпринимательской деятельности, агропромышленной кооперации и интеграции производства и соответствующих им структур и звеньев АПК.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>5. Распространение передовых методов хозяйствования и технологий, развитию аграрных и связанных с деятельностью АПК социально - экономических наук.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>6. Организация подготовки и повышения квалификации кадров для аграрного сектора района.</w:t>
      </w:r>
    </w:p>
    <w:p w:rsidR="00A34BAB" w:rsidRDefault="00A34BAB" w:rsidP="00F86420">
      <w:pPr>
        <w:jc w:val="both"/>
        <w:rPr>
          <w:sz w:val="28"/>
        </w:rPr>
      </w:pPr>
      <w:r>
        <w:rPr>
          <w:sz w:val="28"/>
        </w:rPr>
        <w:t>7. Проведение инвестиционной политики и контроля за реализацией целевых комплексных программ социального развития села.</w:t>
      </w:r>
    </w:p>
    <w:p w:rsidR="00A34BAB" w:rsidRDefault="00A34BAB" w:rsidP="00A81F0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F86420">
        <w:rPr>
          <w:sz w:val="28"/>
          <w:szCs w:val="28"/>
        </w:rPr>
        <w:t xml:space="preserve">Починковский район является крупным сельскохозяйственным районом области, поэтому сельскохозяйственное производство – одна из основных </w:t>
      </w:r>
      <w:r w:rsidRPr="00A81F0E">
        <w:rPr>
          <w:sz w:val="28"/>
          <w:szCs w:val="28"/>
          <w:shd w:val="clear" w:color="auto" w:fill="FFFFFF"/>
        </w:rPr>
        <w:t xml:space="preserve">отраслей экономики Починковского района.  В данной отрасли  работают </w:t>
      </w:r>
      <w:r>
        <w:rPr>
          <w:sz w:val="28"/>
          <w:szCs w:val="28"/>
          <w:shd w:val="clear" w:color="auto" w:fill="FFFFFF"/>
        </w:rPr>
        <w:t>1 206 человек. Среднемесячная заработная плата составила 14 689 руб., что на 13,7%  больше чем в 2014 году.</w:t>
      </w:r>
    </w:p>
    <w:p w:rsidR="00A34BAB" w:rsidRDefault="00A34BAB" w:rsidP="00A81F0E">
      <w:pPr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        В рейтинге районов области сельское хозяйство Починковского района находится на 12 месте по производству мяса, на 5 месте по валовому производству молока, по поголовью КРС на 2 месте, по поголовью коров на 3 месте.</w:t>
      </w:r>
    </w:p>
    <w:p w:rsidR="00A34BAB" w:rsidRPr="00F86420" w:rsidRDefault="00A34BAB" w:rsidP="00FB2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F86420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>хозяйство района представлено 15</w:t>
      </w:r>
      <w:r w:rsidRPr="00F86420">
        <w:rPr>
          <w:sz w:val="28"/>
          <w:szCs w:val="28"/>
        </w:rPr>
        <w:t>-ю действующими сельхозпредприятиями,</w:t>
      </w:r>
      <w:r>
        <w:rPr>
          <w:sz w:val="28"/>
          <w:szCs w:val="28"/>
        </w:rPr>
        <w:t xml:space="preserve"> на долю которых приходится 68% сельскохозяйственного производства,</w:t>
      </w:r>
      <w:r w:rsidRPr="00F86420">
        <w:rPr>
          <w:sz w:val="28"/>
          <w:szCs w:val="28"/>
        </w:rPr>
        <w:t xml:space="preserve"> шестью крестьянск</w:t>
      </w:r>
      <w:r>
        <w:rPr>
          <w:sz w:val="28"/>
          <w:szCs w:val="28"/>
        </w:rPr>
        <w:t>о-фермерскими хозяйствами, на долю которых приходится 1,3% сельскохозяйственного производства, и 10520</w:t>
      </w:r>
      <w:r w:rsidRPr="00F86420">
        <w:rPr>
          <w:sz w:val="28"/>
          <w:szCs w:val="28"/>
        </w:rPr>
        <w:t xml:space="preserve">-ю </w:t>
      </w:r>
      <w:r>
        <w:rPr>
          <w:sz w:val="28"/>
          <w:szCs w:val="28"/>
        </w:rPr>
        <w:t>личными  подсобными хозяйствами (30,7 %)</w:t>
      </w:r>
      <w:r w:rsidRPr="00F86420">
        <w:rPr>
          <w:sz w:val="28"/>
          <w:szCs w:val="28"/>
        </w:rPr>
        <w:t xml:space="preserve">. </w:t>
      </w:r>
    </w:p>
    <w:p w:rsidR="00A34BAB" w:rsidRPr="00F86420" w:rsidRDefault="00A34BAB" w:rsidP="00C0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2015</w:t>
      </w:r>
      <w:r w:rsidRPr="00F86420">
        <w:rPr>
          <w:sz w:val="28"/>
          <w:szCs w:val="28"/>
        </w:rPr>
        <w:t xml:space="preserve"> году произведено  валовой продукции на </w:t>
      </w:r>
      <w:r>
        <w:rPr>
          <w:sz w:val="28"/>
          <w:szCs w:val="28"/>
        </w:rPr>
        <w:t>1 320,9 млн. руб., всеми категориями хозяйств, что составляет к уровню 2014 года 107</w:t>
      </w:r>
      <w:r w:rsidRPr="00F86420">
        <w:rPr>
          <w:sz w:val="28"/>
          <w:szCs w:val="28"/>
        </w:rPr>
        <w:t xml:space="preserve">%. </w:t>
      </w:r>
    </w:p>
    <w:p w:rsidR="00A34BAB" w:rsidRPr="001A7399" w:rsidRDefault="00A34BAB" w:rsidP="001A739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F86420">
        <w:rPr>
          <w:sz w:val="28"/>
          <w:szCs w:val="28"/>
        </w:rPr>
        <w:t xml:space="preserve">                                                                                </w:t>
      </w:r>
    </w:p>
    <w:p w:rsidR="00A34BAB" w:rsidRPr="007465AA" w:rsidRDefault="00A34BAB" w:rsidP="00FB2B8F">
      <w:pPr>
        <w:jc w:val="center"/>
        <w:rPr>
          <w:b/>
          <w:color w:val="000000"/>
          <w:sz w:val="28"/>
          <w:szCs w:val="28"/>
        </w:rPr>
      </w:pPr>
      <w:r w:rsidRPr="007465AA">
        <w:rPr>
          <w:b/>
          <w:color w:val="000000"/>
          <w:sz w:val="28"/>
          <w:szCs w:val="28"/>
        </w:rPr>
        <w:t>Основные показатели</w:t>
      </w:r>
    </w:p>
    <w:p w:rsidR="00A34BAB" w:rsidRPr="007465AA" w:rsidRDefault="00A34BAB" w:rsidP="00FB2B8F">
      <w:pPr>
        <w:jc w:val="center"/>
        <w:rPr>
          <w:b/>
          <w:color w:val="000000"/>
          <w:sz w:val="28"/>
          <w:szCs w:val="28"/>
        </w:rPr>
      </w:pPr>
      <w:r w:rsidRPr="007465AA">
        <w:rPr>
          <w:b/>
          <w:color w:val="000000"/>
          <w:sz w:val="28"/>
          <w:szCs w:val="28"/>
        </w:rPr>
        <w:t>деятельности отрасли «Сельское хозяйство» (общественное производство)</w:t>
      </w:r>
    </w:p>
    <w:p w:rsidR="00A34BAB" w:rsidRPr="00F86420" w:rsidRDefault="00A34BAB" w:rsidP="00FB2B8F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  <w:u w:val="single"/>
        </w:rPr>
      </w:pPr>
      <w:r w:rsidRPr="00F86420">
        <w:rPr>
          <w:b/>
          <w:sz w:val="28"/>
          <w:szCs w:val="28"/>
          <w:u w:val="single"/>
        </w:rPr>
        <w:t xml:space="preserve">Таблица </w:t>
      </w:r>
      <w:r>
        <w:rPr>
          <w:b/>
          <w:sz w:val="28"/>
          <w:szCs w:val="28"/>
          <w:u w:val="single"/>
        </w:rPr>
        <w:t>1</w:t>
      </w:r>
      <w:r w:rsidRPr="00F86420">
        <w:rPr>
          <w:b/>
          <w:sz w:val="28"/>
          <w:szCs w:val="28"/>
          <w:u w:val="single"/>
        </w:rPr>
        <w:t>.</w:t>
      </w:r>
    </w:p>
    <w:p w:rsidR="00A34BAB" w:rsidRPr="00F86420" w:rsidRDefault="00A34BAB" w:rsidP="00F6380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6420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W w:w="10008" w:type="dxa"/>
        <w:tblLayout w:type="fixed"/>
        <w:tblLook w:val="0000"/>
      </w:tblPr>
      <w:tblGrid>
        <w:gridCol w:w="506"/>
        <w:gridCol w:w="3382"/>
        <w:gridCol w:w="1053"/>
        <w:gridCol w:w="1260"/>
        <w:gridCol w:w="1440"/>
        <w:gridCol w:w="1287"/>
        <w:gridCol w:w="1080"/>
      </w:tblGrid>
      <w:tr w:rsidR="00A34BAB" w:rsidRPr="00F86420" w:rsidTr="004B580A">
        <w:trPr>
          <w:cantSplit/>
          <w:trHeight w:val="28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Январь – декабрь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ind w:hanging="288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2015 года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Январь – декабрь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  <w:r w:rsidRPr="00797B38">
              <w:rPr>
                <w:rFonts w:ascii="Times New Roman CYR" w:hAnsi="Times New Roman CYR" w:cs="Times New Roman CYR"/>
              </w:rPr>
              <w:t xml:space="preserve"> года</w:t>
            </w:r>
          </w:p>
        </w:tc>
      </w:tr>
      <w:tr w:rsidR="00A34BAB" w:rsidRPr="00F86420" w:rsidTr="004B580A">
        <w:trPr>
          <w:cantSplit/>
          <w:trHeight w:val="280"/>
        </w:trPr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AB" w:rsidRPr="00797B38" w:rsidRDefault="00A34BAB" w:rsidP="004B58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AB" w:rsidRPr="00797B38" w:rsidRDefault="00A34BAB" w:rsidP="004B58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BAB" w:rsidRPr="00797B38" w:rsidRDefault="00A34BAB" w:rsidP="004B58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 xml:space="preserve">Всего 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 xml:space="preserve">за январь-декабрь 2015 года.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Темп роста (спада)</w:t>
            </w:r>
            <w:r w:rsidRPr="00797B38">
              <w:t xml:space="preserve"> </w:t>
            </w:r>
            <w:r w:rsidRPr="00797B38">
              <w:rPr>
                <w:rFonts w:ascii="Times New Roman CYR" w:hAnsi="Times New Roman CYR" w:cs="Times New Roman CYR"/>
              </w:rPr>
              <w:t>к уровню прошлого года, в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 xml:space="preserve">Всего за 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январь-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декабрь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  <w:r w:rsidRPr="00797B38">
              <w:rPr>
                <w:rFonts w:ascii="Times New Roman CYR" w:hAnsi="Times New Roman CYR" w:cs="Times New Roman CYR"/>
              </w:rPr>
              <w:t xml:space="preserve"> 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года.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Темп роста (спада)</w:t>
            </w:r>
            <w:r w:rsidRPr="00797B38">
              <w:t xml:space="preserve"> </w:t>
            </w:r>
            <w:r w:rsidRPr="00797B38">
              <w:rPr>
                <w:rFonts w:ascii="Times New Roman CYR" w:hAnsi="Times New Roman CYR" w:cs="Times New Roman CYR"/>
              </w:rPr>
              <w:t>к прошлому году, в %</w:t>
            </w:r>
          </w:p>
        </w:tc>
      </w:tr>
      <w:tr w:rsidR="00A34BAB" w:rsidRPr="00F86420" w:rsidTr="004B580A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A8165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B38">
              <w:t>Объем валовой продукции сельского хоз</w:t>
            </w:r>
            <w:r>
              <w:t>яйства в сопоставимых ценах 2014</w:t>
            </w:r>
            <w:r w:rsidRPr="00797B38">
              <w:t xml:space="preserve"> года,  в т.ч. продукция: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млн.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916</w:t>
            </w: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100,3</w:t>
            </w:r>
          </w:p>
          <w:p w:rsidR="00A34BAB" w:rsidRPr="00797B38" w:rsidRDefault="00A34BAB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913,9</w:t>
            </w: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B38">
              <w:t>108,3</w:t>
            </w:r>
          </w:p>
          <w:p w:rsidR="00A34BAB" w:rsidRPr="00797B38" w:rsidRDefault="00A34BAB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4BAB" w:rsidRPr="00F86420" w:rsidTr="004B580A">
        <w:trPr>
          <w:trHeight w:val="144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7B38">
              <w:t xml:space="preserve">  </w:t>
            </w:r>
            <w:r w:rsidRPr="00797B38">
              <w:rPr>
                <w:rFonts w:ascii="Times New Roman CYR" w:hAnsi="Times New Roman CYR" w:cs="Times New Roman CYR"/>
              </w:rPr>
              <w:t>Наличие крупного рогатого скота в сельскохозяйственных организациях района, в т.ч.: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7B38">
              <w:t xml:space="preserve">- </w:t>
            </w:r>
            <w:r w:rsidRPr="00797B38">
              <w:rPr>
                <w:rFonts w:ascii="Times New Roman CYR" w:hAnsi="Times New Roman CYR" w:cs="Times New Roman CYR"/>
              </w:rPr>
              <w:t xml:space="preserve">коров продуктивного стада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</w:pPr>
            <w:r w:rsidRPr="00797B38">
              <w:t xml:space="preserve"> 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lang w:val="en-US"/>
              </w:rPr>
              <w:t>тыс. голов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13,97</w:t>
            </w: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5.6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</w:t>
            </w:r>
            <w:r w:rsidRPr="00797B38">
              <w:rPr>
                <w:rFonts w:ascii="Times New Roman CYR" w:hAnsi="Times New Roman CYR" w:cs="Times New Roman CYR"/>
              </w:rPr>
              <w:t>100,9</w:t>
            </w: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13,85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98,6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95,2</w:t>
            </w:r>
          </w:p>
        </w:tc>
      </w:tr>
      <w:tr w:rsidR="00A34BAB" w:rsidRPr="00F86420" w:rsidTr="004B580A">
        <w:trPr>
          <w:trHeight w:val="118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both"/>
            </w:pPr>
            <w:r w:rsidRPr="00797B38">
              <w:t>Наличие крупного рогатого скота в личных подсобных хозяйствах граждан, в т.ч.: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both"/>
            </w:pPr>
            <w:r w:rsidRPr="00797B38">
              <w:t xml:space="preserve">- </w:t>
            </w:r>
            <w:r w:rsidRPr="00797B38">
              <w:rPr>
                <w:rFonts w:ascii="Times New Roman CYR" w:hAnsi="Times New Roman CYR" w:cs="Times New Roman CYR"/>
              </w:rPr>
              <w:t>коров продуктивного стада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</w:pPr>
            <w:r w:rsidRPr="00797B38">
              <w:t>тыс. голов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1,6</w:t>
            </w: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106.7</w:t>
            </w:r>
          </w:p>
          <w:p w:rsidR="00A34BAB" w:rsidRPr="00797B38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797B38" w:rsidRDefault="00A34BAB" w:rsidP="001A73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93,75</w:t>
            </w:r>
          </w:p>
          <w:p w:rsidR="00A34BAB" w:rsidRPr="00797B38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A34BAB" w:rsidRPr="002E7FAA" w:rsidTr="004B580A">
        <w:trPr>
          <w:trHeight w:val="149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2E7FAA">
              <w:t>Объемы производства продукции животноводства:</w:t>
            </w:r>
          </w:p>
          <w:p w:rsidR="00A34BAB" w:rsidRPr="002E7FAA" w:rsidRDefault="00A34BAB" w:rsidP="004B580A">
            <w:pPr>
              <w:tabs>
                <w:tab w:val="left" w:pos="473"/>
              </w:tabs>
              <w:autoSpaceDE w:val="0"/>
              <w:autoSpaceDN w:val="0"/>
              <w:adjustRightInd w:val="0"/>
              <w:ind w:firstLine="113"/>
            </w:pPr>
            <w:r w:rsidRPr="002E7FAA">
              <w:rPr>
                <w:rFonts w:ascii="Symbol" w:hAnsi="Symbol" w:cs="Symbol"/>
              </w:rPr>
              <w:t></w:t>
            </w:r>
            <w:r w:rsidRPr="002E7FAA">
              <w:rPr>
                <w:rFonts w:ascii="Symbol" w:hAnsi="Symbol" w:cs="Symbol"/>
              </w:rPr>
              <w:t></w:t>
            </w:r>
            <w:r w:rsidRPr="002E7FAA">
              <w:rPr>
                <w:rFonts w:ascii="Symbol" w:hAnsi="Symbol" w:cs="Symbol"/>
              </w:rPr>
              <w:tab/>
            </w:r>
            <w:r w:rsidRPr="002E7FAA">
              <w:t>молоко</w:t>
            </w:r>
          </w:p>
          <w:p w:rsidR="00A34BAB" w:rsidRPr="002E7FAA" w:rsidRDefault="00A34BAB" w:rsidP="004B580A">
            <w:pPr>
              <w:tabs>
                <w:tab w:val="left" w:pos="473"/>
              </w:tabs>
              <w:autoSpaceDE w:val="0"/>
              <w:autoSpaceDN w:val="0"/>
              <w:adjustRightInd w:val="0"/>
              <w:ind w:firstLine="113"/>
            </w:pPr>
            <w:r w:rsidRPr="002E7FAA">
              <w:rPr>
                <w:rFonts w:ascii="Symbol" w:hAnsi="Symbol" w:cs="Symbol"/>
              </w:rPr>
              <w:t></w:t>
            </w:r>
            <w:r w:rsidRPr="002E7FAA">
              <w:rPr>
                <w:rFonts w:ascii="Symbol" w:hAnsi="Symbol" w:cs="Symbol"/>
              </w:rPr>
              <w:t></w:t>
            </w:r>
            <w:r w:rsidRPr="002E7FAA">
              <w:rPr>
                <w:rFonts w:ascii="Symbol" w:hAnsi="Symbol" w:cs="Symbol"/>
              </w:rPr>
              <w:tab/>
            </w:r>
            <w:r w:rsidRPr="002E7FAA">
              <w:t>мясо (реализация скота на убой) в живом весе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тыс. тонн</w:t>
            </w: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27,3</w:t>
            </w:r>
          </w:p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96,6</w:t>
            </w:r>
          </w:p>
          <w:p w:rsidR="00A34BAB" w:rsidRPr="002E7FAA" w:rsidRDefault="00A34BAB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88,5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28,3</w:t>
            </w: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1,92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100,4</w:t>
            </w: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77,2</w:t>
            </w:r>
          </w:p>
        </w:tc>
      </w:tr>
      <w:tr w:rsidR="00A34BAB" w:rsidRPr="002E7FAA" w:rsidTr="004B580A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Намолочено зерна</w:t>
            </w:r>
          </w:p>
          <w:p w:rsidR="00A34BAB" w:rsidRPr="002E7FAA" w:rsidRDefault="00A34BAB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(в весе после доработки)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тыс. тонн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39,0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102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37,9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E7FAA">
              <w:rPr>
                <w:rFonts w:ascii="Times New Roman CYR" w:hAnsi="Times New Roman CYR" w:cs="Times New Roman CYR"/>
              </w:rPr>
              <w:t>143</w:t>
            </w:r>
          </w:p>
        </w:tc>
      </w:tr>
      <w:tr w:rsidR="00A34BAB" w:rsidRPr="002E7FAA" w:rsidTr="004B580A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E7FAA">
              <w:rPr>
                <w:rFonts w:ascii="Times New Roman CYR" w:hAnsi="Times New Roman CYR" w:cs="Times New Roman CYR"/>
                <w:color w:val="000000"/>
              </w:rPr>
              <w:t xml:space="preserve"> 6.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E7FA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2E7FAA">
              <w:rPr>
                <w:color w:val="000000"/>
              </w:rPr>
              <w:t>Урожайность зерновых и зернобобовых культур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E7FAA">
              <w:rPr>
                <w:rFonts w:ascii="Times New Roman CYR" w:hAnsi="Times New Roman CYR" w:cs="Times New Roman CYR"/>
                <w:color w:val="000000"/>
              </w:rPr>
              <w:t>ц/га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2E7FAA">
              <w:rPr>
                <w:rFonts w:ascii="Times New Roman CYR" w:hAnsi="Times New Roman CYR" w:cs="Times New Roman CYR"/>
                <w:color w:val="000000"/>
              </w:rPr>
              <w:t>19,3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BAB" w:rsidRPr="002E7FAA" w:rsidRDefault="00A34BAB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131</w:t>
            </w:r>
          </w:p>
        </w:tc>
      </w:tr>
    </w:tbl>
    <w:p w:rsidR="00A34BAB" w:rsidRPr="002E7FAA" w:rsidRDefault="00A34BAB" w:rsidP="00FB2B8F">
      <w:pPr>
        <w:ind w:firstLine="708"/>
        <w:jc w:val="both"/>
        <w:rPr>
          <w:b/>
          <w:color w:val="FF0000"/>
          <w:sz w:val="28"/>
          <w:szCs w:val="28"/>
        </w:rPr>
      </w:pPr>
    </w:p>
    <w:p w:rsidR="00A34BAB" w:rsidRDefault="00A34BAB" w:rsidP="002E7FAA">
      <w:pPr>
        <w:jc w:val="both"/>
        <w:rPr>
          <w:rFonts w:ascii="Times New Roman CYR" w:hAnsi="Times New Roman CYR"/>
          <w:sz w:val="28"/>
          <w:szCs w:val="28"/>
        </w:rPr>
      </w:pPr>
      <w:r w:rsidRPr="002E7FAA">
        <w:rPr>
          <w:color w:val="000000"/>
          <w:sz w:val="28"/>
          <w:szCs w:val="28"/>
        </w:rPr>
        <w:t xml:space="preserve">        В 2015</w:t>
      </w:r>
      <w:r>
        <w:rPr>
          <w:color w:val="000000"/>
          <w:sz w:val="28"/>
          <w:szCs w:val="28"/>
        </w:rPr>
        <w:t xml:space="preserve"> </w:t>
      </w:r>
      <w:r w:rsidRPr="002E7FAA">
        <w:rPr>
          <w:color w:val="000000"/>
          <w:sz w:val="28"/>
          <w:szCs w:val="28"/>
        </w:rPr>
        <w:t xml:space="preserve">году  положительные итоги работы отрасли растениеводства. Впервые за пять последних лет от зерна получена прибыль </w:t>
      </w:r>
      <w:r w:rsidRPr="002E7FAA">
        <w:rPr>
          <w:rFonts w:ascii="Times New Roman CYR" w:hAnsi="Times New Roman CYR"/>
          <w:sz w:val="28"/>
          <w:szCs w:val="28"/>
        </w:rPr>
        <w:t>33,6 млн. рублей, уровень рентабельности  в целом по району составил  14%.  (По области рентабельность зерна в 2015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2E7FAA">
        <w:rPr>
          <w:rFonts w:ascii="Times New Roman CYR" w:hAnsi="Times New Roman CYR"/>
          <w:sz w:val="28"/>
          <w:szCs w:val="28"/>
        </w:rPr>
        <w:t xml:space="preserve">году составила  25,6%).  Большинство сельскохозяйственных предприятий получили прибыль. Повышение рентабельности  по производству  зерна произошло за счет роста цены реализации. Цена реализации зерна в среднем по району составила –   7 руб. 46коп., что на 2 руб. 22коп.  больше чем в 2014 году.  В объеме  выручки от реализации сельскохозяйственной продукции,  выручка от реализации зерна   составляет – 41,8%, в абсолютной величине это составляет 362,2 млн. рублей. </w:t>
      </w:r>
    </w:p>
    <w:p w:rsidR="00A34BAB" w:rsidRDefault="00A34BAB" w:rsidP="0044618C">
      <w:pPr>
        <w:ind w:firstLine="708"/>
        <w:jc w:val="center"/>
        <w:rPr>
          <w:b/>
          <w:color w:val="000000"/>
          <w:sz w:val="28"/>
          <w:szCs w:val="28"/>
        </w:rPr>
      </w:pPr>
    </w:p>
    <w:p w:rsidR="00A34BAB" w:rsidRPr="007465AA" w:rsidRDefault="00A34BAB" w:rsidP="0044618C">
      <w:pPr>
        <w:ind w:firstLine="708"/>
        <w:jc w:val="center"/>
        <w:rPr>
          <w:b/>
          <w:color w:val="000000"/>
          <w:sz w:val="28"/>
          <w:szCs w:val="28"/>
        </w:rPr>
      </w:pPr>
      <w:r w:rsidRPr="007465AA">
        <w:rPr>
          <w:b/>
          <w:color w:val="000000"/>
          <w:sz w:val="28"/>
          <w:szCs w:val="28"/>
        </w:rPr>
        <w:t xml:space="preserve">Структура площадей на </w:t>
      </w:r>
      <w:r>
        <w:rPr>
          <w:b/>
          <w:color w:val="000000"/>
          <w:sz w:val="28"/>
          <w:szCs w:val="28"/>
        </w:rPr>
        <w:t>01.01.2016</w:t>
      </w:r>
      <w:r w:rsidRPr="007465AA">
        <w:rPr>
          <w:b/>
          <w:color w:val="000000"/>
          <w:sz w:val="28"/>
          <w:szCs w:val="28"/>
        </w:rPr>
        <w:t xml:space="preserve"> г. ( га)</w:t>
      </w:r>
    </w:p>
    <w:p w:rsidR="00A34BAB" w:rsidRPr="007465AA" w:rsidRDefault="00A34BAB" w:rsidP="0044618C">
      <w:pPr>
        <w:ind w:firstLine="708"/>
        <w:jc w:val="righ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Таблица 2</w:t>
      </w:r>
      <w:r w:rsidRPr="007465AA">
        <w:rPr>
          <w:b/>
          <w:color w:val="000000"/>
          <w:sz w:val="28"/>
          <w:szCs w:val="28"/>
          <w:u w:val="single"/>
        </w:rPr>
        <w:t>.</w:t>
      </w:r>
    </w:p>
    <w:p w:rsidR="00A34BAB" w:rsidRPr="007465AA" w:rsidRDefault="00A34BAB" w:rsidP="0044618C">
      <w:pPr>
        <w:ind w:firstLine="708"/>
        <w:jc w:val="right"/>
        <w:rPr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1351"/>
        <w:gridCol w:w="1260"/>
        <w:gridCol w:w="1620"/>
        <w:gridCol w:w="1458"/>
        <w:gridCol w:w="1782"/>
      </w:tblGrid>
      <w:tr w:rsidR="00A34BAB" w:rsidRPr="007465AA" w:rsidTr="00EB495D">
        <w:trPr>
          <w:trHeight w:val="1244"/>
        </w:trPr>
        <w:tc>
          <w:tcPr>
            <w:tcW w:w="2357" w:type="dxa"/>
          </w:tcPr>
          <w:p w:rsidR="00A34BAB" w:rsidRPr="007465AA" w:rsidRDefault="00A34BAB" w:rsidP="00EB495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Всего по району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ind w:left="212" w:hanging="212"/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Прочие</w:t>
            </w:r>
          </w:p>
          <w:p w:rsidR="00A34BAB" w:rsidRPr="007465AA" w:rsidRDefault="00A34BAB" w:rsidP="00EB495D">
            <w:pPr>
              <w:ind w:left="212" w:hanging="212"/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ЛПХ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Сельхозпредприятия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Подсобные хозяйства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Фермерские хозяйства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Земли сельхозназначени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123987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10726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107189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5646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В том числе сельхозугодий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113849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10713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97579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5142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Из них пашни*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88220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10014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72891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4936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Посевная площадь , всего*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55085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50642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2496</w:t>
            </w:r>
          </w:p>
        </w:tc>
      </w:tr>
      <w:tr w:rsidR="00A34BAB" w:rsidRPr="007465AA" w:rsidTr="00EB495D">
        <w:trPr>
          <w:trHeight w:val="366"/>
        </w:trPr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Зерновые культуры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21552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20791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Кормовые культуры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29222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27300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Чистые пары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6648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6159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</w:tr>
      <w:tr w:rsidR="00A34BAB" w:rsidRPr="007465AA" w:rsidTr="00EB495D">
        <w:tc>
          <w:tcPr>
            <w:tcW w:w="2357" w:type="dxa"/>
          </w:tcPr>
          <w:p w:rsidR="00A34BAB" w:rsidRPr="001A7399" w:rsidRDefault="00A34BAB" w:rsidP="00EB495D">
            <w:pPr>
              <w:rPr>
                <w:color w:val="000000"/>
              </w:rPr>
            </w:pPr>
            <w:r w:rsidRPr="001A7399">
              <w:rPr>
                <w:color w:val="000000"/>
              </w:rPr>
              <w:t>Неиспользованная пашня</w:t>
            </w:r>
          </w:p>
        </w:tc>
        <w:tc>
          <w:tcPr>
            <w:tcW w:w="1351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26487</w:t>
            </w:r>
          </w:p>
        </w:tc>
        <w:tc>
          <w:tcPr>
            <w:tcW w:w="126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8257</w:t>
            </w:r>
          </w:p>
        </w:tc>
        <w:tc>
          <w:tcPr>
            <w:tcW w:w="1620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16090</w:t>
            </w:r>
          </w:p>
        </w:tc>
        <w:tc>
          <w:tcPr>
            <w:tcW w:w="1458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82" w:type="dxa"/>
          </w:tcPr>
          <w:p w:rsidR="00A34BAB" w:rsidRPr="007465AA" w:rsidRDefault="00A34BAB" w:rsidP="00EB49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</w:t>
            </w:r>
          </w:p>
        </w:tc>
      </w:tr>
    </w:tbl>
    <w:p w:rsidR="00A34BAB" w:rsidRPr="002E7FAA" w:rsidRDefault="00A34BAB" w:rsidP="002E7FAA">
      <w:pPr>
        <w:jc w:val="both"/>
        <w:rPr>
          <w:rFonts w:ascii="Times New Roman CYR" w:hAnsi="Times New Roman CYR"/>
          <w:sz w:val="28"/>
          <w:szCs w:val="28"/>
        </w:rPr>
      </w:pPr>
    </w:p>
    <w:p w:rsidR="00A34BAB" w:rsidRPr="009A0F4A" w:rsidRDefault="00A34BAB" w:rsidP="009A0F4A">
      <w:pPr>
        <w:jc w:val="both"/>
        <w:rPr>
          <w:rFonts w:ascii="Times New Roman CYR" w:hAnsi="Times New Roman CYR"/>
          <w:sz w:val="28"/>
          <w:szCs w:val="28"/>
        </w:rPr>
      </w:pPr>
      <w:r w:rsidRPr="009A0F4A">
        <w:rPr>
          <w:rFonts w:ascii="Times New Roman CYR" w:hAnsi="Times New Roman CYR"/>
          <w:sz w:val="28"/>
          <w:szCs w:val="28"/>
        </w:rPr>
        <w:t xml:space="preserve">         Выручка от реализации молока в 2015году составила -  387,7 млн. руб. В структуре денежного дохода в 2015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A0F4A">
        <w:rPr>
          <w:rFonts w:ascii="Times New Roman CYR" w:hAnsi="Times New Roman CYR"/>
          <w:sz w:val="28"/>
          <w:szCs w:val="28"/>
        </w:rPr>
        <w:t>году реализация молока занимает 44,7%. К уровню 2014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A0F4A">
        <w:rPr>
          <w:rFonts w:ascii="Times New Roman CYR" w:hAnsi="Times New Roman CYR"/>
          <w:sz w:val="28"/>
          <w:szCs w:val="28"/>
        </w:rPr>
        <w:t>года доход от реализации молока  немного увеличился  на 20,9 млн. рублей, за счет  роста  цены реализации на молоко.  В среднем   цена реализации молока в физ. весе составила 19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A0F4A">
        <w:rPr>
          <w:rFonts w:ascii="Times New Roman CYR" w:hAnsi="Times New Roman CYR"/>
          <w:sz w:val="28"/>
          <w:szCs w:val="28"/>
        </w:rPr>
        <w:t>руб</w:t>
      </w:r>
      <w:r>
        <w:rPr>
          <w:rFonts w:ascii="Times New Roman CYR" w:hAnsi="Times New Roman CYR"/>
          <w:sz w:val="28"/>
          <w:szCs w:val="28"/>
        </w:rPr>
        <w:t>.</w:t>
      </w:r>
      <w:r w:rsidRPr="009A0F4A">
        <w:rPr>
          <w:rFonts w:ascii="Times New Roman CYR" w:hAnsi="Times New Roman CYR"/>
          <w:sz w:val="28"/>
          <w:szCs w:val="28"/>
        </w:rPr>
        <w:t xml:space="preserve"> 30коп. за </w:t>
      </w:r>
      <w:smartTag w:uri="urn:schemas-microsoft-com:office:smarttags" w:element="metricconverter">
        <w:smartTagPr>
          <w:attr w:name="ProductID" w:val="1 кг"/>
        </w:smartTagPr>
        <w:r w:rsidRPr="009A0F4A">
          <w:rPr>
            <w:rFonts w:ascii="Times New Roman CYR" w:hAnsi="Times New Roman CYR"/>
            <w:sz w:val="28"/>
            <w:szCs w:val="28"/>
          </w:rPr>
          <w:t>1</w:t>
        </w:r>
        <w:r>
          <w:rPr>
            <w:rFonts w:ascii="Times New Roman CYR" w:hAnsi="Times New Roman CYR"/>
            <w:sz w:val="28"/>
            <w:szCs w:val="28"/>
          </w:rPr>
          <w:t xml:space="preserve"> </w:t>
        </w:r>
        <w:r w:rsidRPr="009A0F4A">
          <w:rPr>
            <w:rFonts w:ascii="Times New Roman CYR" w:hAnsi="Times New Roman CYR"/>
            <w:sz w:val="28"/>
            <w:szCs w:val="28"/>
          </w:rPr>
          <w:t>кг</w:t>
        </w:r>
      </w:smartTag>
      <w:r w:rsidRPr="009A0F4A">
        <w:rPr>
          <w:rFonts w:ascii="Times New Roman CYR" w:hAnsi="Times New Roman CYR"/>
          <w:sz w:val="28"/>
          <w:szCs w:val="28"/>
        </w:rPr>
        <w:t xml:space="preserve"> в физическом весе,  увеличение к 2014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A0F4A">
        <w:rPr>
          <w:rFonts w:ascii="Times New Roman CYR" w:hAnsi="Times New Roman CYR"/>
          <w:sz w:val="28"/>
          <w:szCs w:val="28"/>
        </w:rPr>
        <w:t>году всего на 50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9A0F4A">
        <w:rPr>
          <w:rFonts w:ascii="Times New Roman CYR" w:hAnsi="Times New Roman CYR"/>
          <w:sz w:val="28"/>
          <w:szCs w:val="28"/>
        </w:rPr>
        <w:t xml:space="preserve">коп, то есть 2,7%. </w:t>
      </w:r>
      <w:r>
        <w:rPr>
          <w:rFonts w:ascii="Times New Roman CYR" w:hAnsi="Times New Roman CYR"/>
          <w:sz w:val="28"/>
          <w:szCs w:val="28"/>
        </w:rPr>
        <w:t>Молоко для сельхоз</w:t>
      </w:r>
      <w:r w:rsidRPr="009A0F4A">
        <w:rPr>
          <w:rFonts w:ascii="Times New Roman CYR" w:hAnsi="Times New Roman CYR"/>
          <w:sz w:val="28"/>
          <w:szCs w:val="28"/>
        </w:rPr>
        <w:t xml:space="preserve">предприятий в 2015году  прибыльно, прибыль 22,7 млн. </w:t>
      </w:r>
      <w:r>
        <w:rPr>
          <w:rFonts w:ascii="Times New Roman CYR" w:hAnsi="Times New Roman CYR"/>
          <w:sz w:val="28"/>
          <w:szCs w:val="28"/>
        </w:rPr>
        <w:t xml:space="preserve">рублей. </w:t>
      </w:r>
      <w:r w:rsidRPr="009A0F4A">
        <w:rPr>
          <w:rFonts w:ascii="Times New Roman CYR" w:hAnsi="Times New Roman CYR"/>
          <w:sz w:val="28"/>
          <w:szCs w:val="28"/>
        </w:rPr>
        <w:t>Высоко рентабельно производство молока в предприятиях: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9A0F4A">
        <w:rPr>
          <w:rFonts w:ascii="Times New Roman CYR" w:hAnsi="Times New Roman CYR"/>
          <w:sz w:val="28"/>
          <w:szCs w:val="28"/>
        </w:rPr>
        <w:t>-СПК «Криушинский</w:t>
      </w:r>
      <w:r w:rsidRPr="000567E7">
        <w:rPr>
          <w:rFonts w:ascii="Times New Roman CYR" w:hAnsi="Times New Roman CYR"/>
          <w:sz w:val="28"/>
          <w:szCs w:val="28"/>
        </w:rPr>
        <w:t>»-16,1млн.рублей - уровень рентабельности 61,7%.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-Колхоз им. Ленина - 17,9 млн.рублей - уровень рентабельности- 41,4%,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 А/Ф «Маресевская» -   10,8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</w:t>
      </w:r>
      <w:r>
        <w:rPr>
          <w:rFonts w:ascii="Times New Roman CYR" w:hAnsi="Times New Roman CYR"/>
          <w:sz w:val="28"/>
          <w:szCs w:val="28"/>
        </w:rPr>
        <w:t>.</w:t>
      </w:r>
      <w:r w:rsidRPr="000567E7">
        <w:rPr>
          <w:rFonts w:ascii="Times New Roman CYR" w:hAnsi="Times New Roman CYR"/>
          <w:sz w:val="28"/>
          <w:szCs w:val="28"/>
        </w:rPr>
        <w:t xml:space="preserve"> - рентабельность 63,3%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-СПК «Красный пахарь» - 8,3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</w:t>
      </w:r>
      <w:r>
        <w:rPr>
          <w:rFonts w:ascii="Times New Roman CYR" w:hAnsi="Times New Roman CYR"/>
          <w:sz w:val="28"/>
          <w:szCs w:val="28"/>
        </w:rPr>
        <w:t>.</w:t>
      </w:r>
      <w:r w:rsidRPr="000567E7">
        <w:rPr>
          <w:rFonts w:ascii="Times New Roman CYR" w:hAnsi="Times New Roman CYR"/>
          <w:sz w:val="28"/>
          <w:szCs w:val="28"/>
        </w:rPr>
        <w:t xml:space="preserve"> - рентабельность 20,8%</w:t>
      </w: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 СПК «Шагаевский» - прибыль 7,6млн</w:t>
      </w:r>
      <w:r>
        <w:rPr>
          <w:rFonts w:ascii="Times New Roman CYR" w:hAnsi="Times New Roman CYR"/>
          <w:sz w:val="28"/>
          <w:szCs w:val="28"/>
        </w:rPr>
        <w:t>. рублей - 19,6% рентабельности.</w:t>
      </w:r>
    </w:p>
    <w:p w:rsidR="00A34BAB" w:rsidRPr="00B23E45" w:rsidRDefault="00A34BAB" w:rsidP="00B23E45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B23E45">
        <w:rPr>
          <w:rFonts w:ascii="Times New Roman CYR" w:hAnsi="Times New Roman CYR"/>
          <w:b/>
          <w:sz w:val="28"/>
          <w:szCs w:val="28"/>
        </w:rPr>
        <w:t>Рис.1</w:t>
      </w:r>
    </w:p>
    <w:p w:rsidR="00A34BAB" w:rsidRPr="00B23E45" w:rsidRDefault="00A34BAB" w:rsidP="00B23E4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34BAB" w:rsidRPr="00B23E45" w:rsidRDefault="00A34BAB" w:rsidP="00B23E4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B23E45">
        <w:rPr>
          <w:rFonts w:ascii="Times New Roman CYR" w:hAnsi="Times New Roman CYR"/>
          <w:b/>
          <w:sz w:val="28"/>
          <w:szCs w:val="28"/>
        </w:rPr>
        <w:t>Валовое производство молока, тонн</w:t>
      </w:r>
    </w:p>
    <w:p w:rsidR="00A34BAB" w:rsidRPr="00B23E45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12317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89.5pt">
            <v:imagedata r:id="rId6" o:title=""/>
          </v:shape>
        </w:pict>
      </w: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</w:t>
      </w: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Pr="000567E7">
        <w:rPr>
          <w:rFonts w:ascii="Times New Roman CYR" w:hAnsi="Times New Roman CYR"/>
          <w:sz w:val="28"/>
          <w:szCs w:val="28"/>
        </w:rPr>
        <w:t>В среднем  по району себестоимость молока составила -18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руб.62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коп.</w:t>
      </w:r>
      <w:r>
        <w:rPr>
          <w:rFonts w:ascii="Times New Roman CYR" w:hAnsi="Times New Roman CYR"/>
          <w:sz w:val="28"/>
          <w:szCs w:val="28"/>
        </w:rPr>
        <w:t xml:space="preserve"> Надой на одну корову составил </w:t>
      </w:r>
      <w:smartTag w:uri="urn:schemas-microsoft-com:office:smarttags" w:element="metricconverter">
        <w:smartTagPr>
          <w:attr w:name="ProductID" w:val="4 698 кг"/>
        </w:smartTagPr>
        <w:r>
          <w:rPr>
            <w:rFonts w:ascii="Times New Roman CYR" w:hAnsi="Times New Roman CYR"/>
            <w:sz w:val="28"/>
            <w:szCs w:val="28"/>
          </w:rPr>
          <w:t>4 698 кг</w:t>
        </w:r>
      </w:smartTag>
      <w:r>
        <w:rPr>
          <w:rFonts w:ascii="Times New Roman CYR" w:hAnsi="Times New Roman CYR"/>
          <w:sz w:val="28"/>
          <w:szCs w:val="28"/>
        </w:rPr>
        <w:t xml:space="preserve">., что на </w:t>
      </w:r>
      <w:smartTag w:uri="urn:schemas-microsoft-com:office:smarttags" w:element="metricconverter">
        <w:smartTagPr>
          <w:attr w:name="ProductID" w:val="207 кг"/>
        </w:smartTagPr>
        <w:r>
          <w:rPr>
            <w:rFonts w:ascii="Times New Roman CYR" w:hAnsi="Times New Roman CYR"/>
            <w:sz w:val="28"/>
            <w:szCs w:val="28"/>
          </w:rPr>
          <w:t>207 кг</w:t>
        </w:r>
      </w:smartTag>
      <w:r>
        <w:rPr>
          <w:rFonts w:ascii="Times New Roman CYR" w:hAnsi="Times New Roman CYR"/>
          <w:sz w:val="28"/>
          <w:szCs w:val="28"/>
        </w:rPr>
        <w:t>. больше, чем за 2014 год.</w:t>
      </w: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            </w:t>
      </w: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34BAB" w:rsidRPr="00D26E85" w:rsidRDefault="00A34BAB" w:rsidP="00D26E85">
      <w:pPr>
        <w:tabs>
          <w:tab w:val="left" w:pos="7387"/>
        </w:tabs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26E85">
        <w:rPr>
          <w:rFonts w:ascii="Times New Roman CYR" w:hAnsi="Times New Roman CYR"/>
          <w:b/>
          <w:sz w:val="28"/>
          <w:szCs w:val="28"/>
        </w:rPr>
        <w:t>Рис.</w:t>
      </w:r>
      <w:r>
        <w:rPr>
          <w:rFonts w:ascii="Times New Roman CYR" w:hAnsi="Times New Roman CYR"/>
          <w:b/>
          <w:sz w:val="28"/>
          <w:szCs w:val="28"/>
        </w:rPr>
        <w:t>2</w:t>
      </w:r>
    </w:p>
    <w:p w:rsidR="00A34BAB" w:rsidRPr="00D26E85" w:rsidRDefault="00A34BAB" w:rsidP="00D26E8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26E85">
        <w:rPr>
          <w:rFonts w:ascii="Times New Roman CYR" w:hAnsi="Times New Roman CYR"/>
          <w:b/>
          <w:sz w:val="28"/>
          <w:szCs w:val="28"/>
        </w:rPr>
        <w:t>Надой молока на 1 корову в сельхозпредприятиях</w:t>
      </w:r>
      <w:r>
        <w:rPr>
          <w:rFonts w:ascii="Times New Roman CYR" w:hAnsi="Times New Roman CYR"/>
          <w:b/>
          <w:sz w:val="28"/>
          <w:szCs w:val="28"/>
        </w:rPr>
        <w:t>, кг</w:t>
      </w:r>
      <w:r w:rsidRPr="00D26E85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                         </w:t>
      </w:r>
    </w:p>
    <w:p w:rsidR="00A34BAB" w:rsidRPr="00D26E85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pict>
          <v:shape id="_x0000_i1026" type="#_x0000_t75" style="width:495pt;height:294pt">
            <v:imagedata r:id="rId7" o:title=""/>
          </v:shape>
        </w:pic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420">
        <w:rPr>
          <w:sz w:val="28"/>
          <w:szCs w:val="28"/>
        </w:rPr>
        <w:t>Лидеры в этой отрасли</w:t>
      </w:r>
      <w:r>
        <w:rPr>
          <w:sz w:val="28"/>
          <w:szCs w:val="28"/>
        </w:rPr>
        <w:t xml:space="preserve"> СПК "Криушинский"</w:t>
      </w:r>
      <w:r w:rsidRPr="00F86420">
        <w:rPr>
          <w:sz w:val="28"/>
          <w:szCs w:val="28"/>
        </w:rPr>
        <w:t xml:space="preserve">, СПК «Заря», СПК "Красный пахарь", СПК "Шагаевский", колхоз им. Ленина. Наилучший результат в районе по продуктивности коров  получен в СПК «Заря» – </w:t>
      </w:r>
      <w:smartTag w:uri="urn:schemas-microsoft-com:office:smarttags" w:element="metricconverter">
        <w:smartTagPr>
          <w:attr w:name="ProductID" w:val="7605 кг"/>
        </w:smartTagPr>
        <w:r>
          <w:rPr>
            <w:sz w:val="28"/>
            <w:szCs w:val="28"/>
          </w:rPr>
          <w:t>7605</w:t>
        </w:r>
        <w:r w:rsidRPr="00F86420">
          <w:rPr>
            <w:sz w:val="28"/>
            <w:szCs w:val="28"/>
          </w:rPr>
          <w:t xml:space="preserve"> кг</w:t>
        </w:r>
      </w:smartTag>
      <w:r w:rsidRPr="00F8642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F86420">
        <w:rPr>
          <w:sz w:val="28"/>
          <w:szCs w:val="28"/>
        </w:rPr>
        <w:t xml:space="preserve">  СПК "Криушинский" - </w:t>
      </w:r>
      <w:smartTag w:uri="urn:schemas-microsoft-com:office:smarttags" w:element="metricconverter">
        <w:smartTagPr>
          <w:attr w:name="ProductID" w:val="6907 кг"/>
        </w:smartTagPr>
        <w:r>
          <w:rPr>
            <w:sz w:val="28"/>
            <w:szCs w:val="28"/>
          </w:rPr>
          <w:t>6907</w:t>
        </w:r>
        <w:r w:rsidRPr="00F86420">
          <w:rPr>
            <w:sz w:val="28"/>
            <w:szCs w:val="28"/>
          </w:rPr>
          <w:t xml:space="preserve"> кг</w:t>
        </w:r>
      </w:smartTag>
      <w:r>
        <w:rPr>
          <w:sz w:val="28"/>
          <w:szCs w:val="28"/>
        </w:rPr>
        <w:t>.</w:t>
      </w:r>
      <w:r w:rsidRPr="00F86420">
        <w:rPr>
          <w:sz w:val="28"/>
          <w:szCs w:val="28"/>
        </w:rPr>
        <w:t xml:space="preserve"> </w:t>
      </w: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 xml:space="preserve">          От реализации  крупного рогатого скота, сельскохозяйственные предприятия получили денежного дохода в сумме  108,3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выручка от данного вида продукции увеличилась на 27,6млн.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за счет роста цены реализации продукции на 26,6%. В структуре денежного дохода реализация мяса КРС занимает 12,5%.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Pr="000567E7">
        <w:rPr>
          <w:rFonts w:ascii="Times New Roman CYR" w:hAnsi="Times New Roman CYR"/>
          <w:sz w:val="28"/>
          <w:szCs w:val="28"/>
        </w:rPr>
        <w:t>Общий денежный доход в 2015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году составил 879,3млн. руб</w:t>
      </w:r>
      <w:r>
        <w:rPr>
          <w:rFonts w:ascii="Times New Roman CYR" w:hAnsi="Times New Roman CYR"/>
          <w:sz w:val="28"/>
          <w:szCs w:val="28"/>
        </w:rPr>
        <w:t>.</w:t>
      </w:r>
      <w:r w:rsidRPr="000567E7">
        <w:rPr>
          <w:rFonts w:ascii="Times New Roman CYR" w:hAnsi="Times New Roman CYR"/>
          <w:sz w:val="28"/>
          <w:szCs w:val="28"/>
        </w:rPr>
        <w:t>, к уровню 2014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года на 146,1млн. рублей</w:t>
      </w:r>
      <w:r>
        <w:rPr>
          <w:rFonts w:ascii="Times New Roman CYR" w:hAnsi="Times New Roman CYR"/>
          <w:sz w:val="28"/>
          <w:szCs w:val="28"/>
        </w:rPr>
        <w:t xml:space="preserve"> больше</w:t>
      </w:r>
      <w:r w:rsidRPr="000567E7">
        <w:rPr>
          <w:rFonts w:ascii="Times New Roman CYR" w:hAnsi="Times New Roman CYR"/>
          <w:sz w:val="28"/>
          <w:szCs w:val="28"/>
        </w:rPr>
        <w:t>. От продажи сельскохозяйственной продукции  получено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867,5 млн. рублей, в том числе 41,8% от продажи продукции растениеводства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в абсолютной величине  362,2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от реализации продукции животноводства получено – 505.3млн.</w:t>
      </w:r>
      <w:r>
        <w:rPr>
          <w:rFonts w:ascii="Times New Roman CYR" w:hAnsi="Times New Roman CYR"/>
          <w:sz w:val="28"/>
          <w:szCs w:val="28"/>
        </w:rPr>
        <w:t xml:space="preserve"> руб., (</w:t>
      </w:r>
      <w:r w:rsidRPr="000567E7">
        <w:rPr>
          <w:rFonts w:ascii="Times New Roman CYR" w:hAnsi="Times New Roman CYR"/>
          <w:sz w:val="28"/>
          <w:szCs w:val="28"/>
        </w:rPr>
        <w:t>рост на 11%) , что составляет  большую часть денежного дохода-  58,2%.</w:t>
      </w: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b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В пяти лучших эффективно ра</w:t>
      </w:r>
      <w:r>
        <w:rPr>
          <w:rFonts w:ascii="Times New Roman CYR" w:hAnsi="Times New Roman CYR"/>
          <w:sz w:val="28"/>
          <w:szCs w:val="28"/>
        </w:rPr>
        <w:t>ботающих  предприятиях района  денежный доход растет: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0567E7">
        <w:rPr>
          <w:rFonts w:ascii="Times New Roman CYR" w:hAnsi="Times New Roman CYR"/>
          <w:sz w:val="28"/>
          <w:szCs w:val="28"/>
        </w:rPr>
        <w:t>СПК «Заря»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 90,9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 (рост на 16%</w:t>
      </w:r>
      <w:r>
        <w:rPr>
          <w:rFonts w:ascii="Times New Roman CYR" w:hAnsi="Times New Roman CYR"/>
          <w:sz w:val="28"/>
          <w:szCs w:val="28"/>
        </w:rPr>
        <w:t>);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 xml:space="preserve">-  </w:t>
      </w:r>
      <w:r>
        <w:rPr>
          <w:rFonts w:ascii="Times New Roman CYR" w:hAnsi="Times New Roman CYR"/>
          <w:sz w:val="28"/>
          <w:szCs w:val="28"/>
        </w:rPr>
        <w:t>Колхоз</w:t>
      </w:r>
      <w:r w:rsidRPr="000567E7">
        <w:rPr>
          <w:rFonts w:ascii="Times New Roman CYR" w:hAnsi="Times New Roman CYR"/>
          <w:sz w:val="28"/>
          <w:szCs w:val="28"/>
        </w:rPr>
        <w:t xml:space="preserve"> им. Ленина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 83,3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руб. (рост на 12</w:t>
      </w:r>
      <w:r>
        <w:rPr>
          <w:rFonts w:ascii="Times New Roman CYR" w:hAnsi="Times New Roman CYR"/>
          <w:sz w:val="28"/>
          <w:szCs w:val="28"/>
        </w:rPr>
        <w:t>);</w:t>
      </w:r>
      <w:r w:rsidRPr="000567E7">
        <w:rPr>
          <w:rFonts w:ascii="Times New Roman CYR" w:hAnsi="Times New Roman CYR"/>
          <w:sz w:val="28"/>
          <w:szCs w:val="28"/>
        </w:rPr>
        <w:t xml:space="preserve"> 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  СПК «Шагаевский»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  66,6млн.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</w:t>
      </w:r>
      <w:r>
        <w:rPr>
          <w:rFonts w:ascii="Times New Roman CYR" w:hAnsi="Times New Roman CYR"/>
          <w:sz w:val="28"/>
          <w:szCs w:val="28"/>
        </w:rPr>
        <w:t xml:space="preserve"> (</w:t>
      </w:r>
      <w:r w:rsidRPr="000567E7">
        <w:rPr>
          <w:rFonts w:ascii="Times New Roman CYR" w:hAnsi="Times New Roman CYR"/>
          <w:sz w:val="28"/>
          <w:szCs w:val="28"/>
        </w:rPr>
        <w:t>рост на 16</w:t>
      </w:r>
      <w:r>
        <w:rPr>
          <w:rFonts w:ascii="Times New Roman CYR" w:hAnsi="Times New Roman CYR"/>
          <w:sz w:val="28"/>
          <w:szCs w:val="28"/>
        </w:rPr>
        <w:t>%);</w:t>
      </w:r>
    </w:p>
    <w:p w:rsidR="00A34BAB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 w:rsidRPr="000567E7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СПК «Красный пахарь»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 77,3млн.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 (рост на 16</w:t>
      </w:r>
      <w:r>
        <w:rPr>
          <w:rFonts w:ascii="Times New Roman CYR" w:hAnsi="Times New Roman CYR"/>
          <w:sz w:val="28"/>
          <w:szCs w:val="28"/>
        </w:rPr>
        <w:t>%);</w:t>
      </w:r>
      <w:r w:rsidRPr="000567E7">
        <w:rPr>
          <w:rFonts w:ascii="Times New Roman CYR" w:hAnsi="Times New Roman CYR"/>
          <w:sz w:val="28"/>
          <w:szCs w:val="28"/>
        </w:rPr>
        <w:t xml:space="preserve"> 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Pr="000567E7">
        <w:rPr>
          <w:rFonts w:ascii="Times New Roman CYR" w:hAnsi="Times New Roman CYR"/>
          <w:sz w:val="28"/>
          <w:szCs w:val="28"/>
        </w:rPr>
        <w:t xml:space="preserve">СПК «Криушинский» -  50,1 </w:t>
      </w:r>
      <w:r>
        <w:rPr>
          <w:rFonts w:ascii="Times New Roman CYR" w:hAnsi="Times New Roman CYR"/>
          <w:sz w:val="28"/>
          <w:szCs w:val="28"/>
        </w:rPr>
        <w:t xml:space="preserve">млн. рублей </w:t>
      </w:r>
      <w:r w:rsidRPr="000567E7">
        <w:rPr>
          <w:rFonts w:ascii="Times New Roman CYR" w:hAnsi="Times New Roman CYR"/>
          <w:sz w:val="28"/>
          <w:szCs w:val="28"/>
        </w:rPr>
        <w:t>(рост на 13%)</w:t>
      </w:r>
      <w:r>
        <w:rPr>
          <w:rFonts w:ascii="Times New Roman CYR" w:hAnsi="Times New Roman CYR"/>
          <w:sz w:val="28"/>
          <w:szCs w:val="28"/>
        </w:rPr>
        <w:t>.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Pr="000567E7">
        <w:rPr>
          <w:rFonts w:ascii="Times New Roman CYR" w:hAnsi="Times New Roman CYR"/>
          <w:sz w:val="28"/>
          <w:szCs w:val="28"/>
        </w:rPr>
        <w:t>Один из показателей эффективности производства,  это получение денежного дохода на 100га  сельскохозяйственных угодий.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В 2015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году этот показатель составил 937  тыс. рублей, к уровню прошлого года этот показатель увеличился на 56% .</w:t>
      </w:r>
    </w:p>
    <w:p w:rsidR="00A34BAB" w:rsidRPr="000567E7" w:rsidRDefault="00A34BAB" w:rsidP="000567E7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Pr="000567E7">
        <w:rPr>
          <w:rFonts w:ascii="Times New Roman CYR" w:hAnsi="Times New Roman CYR"/>
          <w:sz w:val="28"/>
          <w:szCs w:val="28"/>
        </w:rPr>
        <w:t xml:space="preserve"> В предприятиях выше названных этот показатель составляет, в СПК «Заря»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- 3229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СПК «Шагае</w:t>
      </w:r>
      <w:r>
        <w:rPr>
          <w:rFonts w:ascii="Times New Roman CYR" w:hAnsi="Times New Roman CYR"/>
          <w:sz w:val="28"/>
          <w:szCs w:val="28"/>
        </w:rPr>
        <w:t>в</w:t>
      </w:r>
      <w:r w:rsidRPr="000567E7">
        <w:rPr>
          <w:rFonts w:ascii="Times New Roman CYR" w:hAnsi="Times New Roman CYR"/>
          <w:sz w:val="28"/>
          <w:szCs w:val="28"/>
        </w:rPr>
        <w:t>ский»- 1881тыс.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СПК «Криушинский»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- 1700тыс.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 в колхозе им. Ленина – 1290 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рублей, в СПК «Красный пахарь»- 1550 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>рублей.</w:t>
      </w:r>
    </w:p>
    <w:p w:rsidR="00A34BAB" w:rsidRDefault="00A34BAB" w:rsidP="00A81F0E">
      <w:pPr>
        <w:spacing w:line="240" w:lineRule="atLeast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</w:t>
      </w:r>
      <w:r w:rsidRPr="000567E7">
        <w:rPr>
          <w:rFonts w:ascii="Times New Roman CYR" w:hAnsi="Times New Roman CYR"/>
          <w:sz w:val="28"/>
          <w:szCs w:val="28"/>
        </w:rPr>
        <w:t xml:space="preserve">  На одного работника в сельском хозяйстве денежного дохода приходит 719 тыс. рублей, рост к  2014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0567E7">
        <w:rPr>
          <w:rFonts w:ascii="Times New Roman CYR" w:hAnsi="Times New Roman CYR"/>
          <w:sz w:val="28"/>
          <w:szCs w:val="28"/>
        </w:rPr>
        <w:t xml:space="preserve">году на 36%. Высокая производительность труда все в тех же выше перечисленных предприятиях. </w:t>
      </w:r>
      <w:r w:rsidRPr="00F86420">
        <w:rPr>
          <w:sz w:val="28"/>
          <w:szCs w:val="28"/>
        </w:rPr>
        <w:t xml:space="preserve"> </w:t>
      </w:r>
    </w:p>
    <w:p w:rsidR="00A34BAB" w:rsidRPr="001216F2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  <w:r w:rsidRPr="00F864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Государственная</w:t>
      </w:r>
      <w:r w:rsidRPr="001216F2">
        <w:rPr>
          <w:rFonts w:ascii="Times New Roman CYR" w:hAnsi="Times New Roman CYR"/>
          <w:b/>
          <w:sz w:val="28"/>
          <w:szCs w:val="28"/>
        </w:rPr>
        <w:t xml:space="preserve">  </w:t>
      </w:r>
      <w:r w:rsidRPr="001216F2">
        <w:rPr>
          <w:rFonts w:ascii="Times New Roman CYR" w:hAnsi="Times New Roman CYR"/>
          <w:sz w:val="28"/>
          <w:szCs w:val="28"/>
        </w:rPr>
        <w:t>поддержка  сельхозпредприятий  осуществлялась  посредством предоставления субсидий из областного и федерального бюджетов.  В рамках действующих программ из областного бюджета получено-  33,4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</w:t>
      </w:r>
      <w:r>
        <w:rPr>
          <w:rFonts w:ascii="Times New Roman CYR" w:hAnsi="Times New Roman CYR"/>
          <w:sz w:val="28"/>
          <w:szCs w:val="28"/>
        </w:rPr>
        <w:t>.</w:t>
      </w:r>
      <w:r w:rsidRPr="001216F2">
        <w:rPr>
          <w:rFonts w:ascii="Times New Roman CYR" w:hAnsi="Times New Roman CYR"/>
          <w:sz w:val="28"/>
          <w:szCs w:val="28"/>
        </w:rPr>
        <w:t>, что на  38,5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 xml:space="preserve">рублей меньше 2014года.  В структуре финансирования областной бюджет занимает - 50,1%. </w:t>
      </w:r>
    </w:p>
    <w:p w:rsidR="00A34BAB" w:rsidRPr="001216F2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Pr="001216F2">
        <w:rPr>
          <w:rFonts w:ascii="Times New Roman CYR" w:hAnsi="Times New Roman CYR"/>
          <w:sz w:val="28"/>
          <w:szCs w:val="28"/>
        </w:rPr>
        <w:t>Из федерального бюджета  сельскохозяйственными предприятиями получено средств в сумме -  33,4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рублей, на 14,3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 меньше - 49,9% от общего финансирования. Совокупная поддержка из бюджета составила -  74,5млн.</w:t>
      </w:r>
      <w:r>
        <w:rPr>
          <w:rFonts w:ascii="Times New Roman CYR" w:hAnsi="Times New Roman CYR"/>
          <w:sz w:val="28"/>
          <w:szCs w:val="28"/>
        </w:rPr>
        <w:t xml:space="preserve"> рублей (</w:t>
      </w:r>
      <w:r w:rsidRPr="001216F2">
        <w:rPr>
          <w:rFonts w:ascii="Times New Roman CYR" w:hAnsi="Times New Roman CYR"/>
          <w:sz w:val="28"/>
          <w:szCs w:val="28"/>
        </w:rPr>
        <w:t>в 2014году -119,7млн.</w:t>
      </w:r>
      <w:r>
        <w:rPr>
          <w:rFonts w:ascii="Times New Roman CYR" w:hAnsi="Times New Roman CYR"/>
          <w:sz w:val="28"/>
          <w:szCs w:val="28"/>
        </w:rPr>
        <w:t xml:space="preserve"> рублей</w:t>
      </w:r>
      <w:r w:rsidRPr="001216F2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>.</w:t>
      </w:r>
    </w:p>
    <w:p w:rsidR="00A34BAB" w:rsidRPr="001216F2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  <w:r w:rsidRPr="001216F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         </w:t>
      </w:r>
      <w:r w:rsidRPr="001216F2">
        <w:rPr>
          <w:rFonts w:ascii="Times New Roman CYR" w:hAnsi="Times New Roman CYR"/>
          <w:sz w:val="28"/>
          <w:szCs w:val="28"/>
        </w:rPr>
        <w:t>В расчете  на 1 гектар пашни получено бюджетных средств 970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   (2014</w:t>
      </w:r>
      <w:r>
        <w:rPr>
          <w:rFonts w:ascii="Times New Roman CYR" w:hAnsi="Times New Roman CYR"/>
          <w:sz w:val="28"/>
          <w:szCs w:val="28"/>
        </w:rPr>
        <w:t xml:space="preserve"> г. </w:t>
      </w:r>
      <w:r w:rsidRPr="001216F2">
        <w:rPr>
          <w:rFonts w:ascii="Times New Roman CYR" w:hAnsi="Times New Roman CYR"/>
          <w:sz w:val="28"/>
          <w:szCs w:val="28"/>
        </w:rPr>
        <w:t>-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1145рублей, в 2013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году- 1310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 xml:space="preserve">рублей, </w:t>
      </w:r>
      <w:r>
        <w:rPr>
          <w:rFonts w:ascii="Times New Roman CYR" w:hAnsi="Times New Roman CYR"/>
          <w:sz w:val="28"/>
          <w:szCs w:val="28"/>
        </w:rPr>
        <w:t xml:space="preserve">в 2012 году </w:t>
      </w:r>
      <w:r w:rsidRPr="001216F2">
        <w:rPr>
          <w:rFonts w:ascii="Times New Roman CYR" w:hAnsi="Times New Roman CYR"/>
          <w:sz w:val="28"/>
          <w:szCs w:val="28"/>
        </w:rPr>
        <w:t xml:space="preserve"> -930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рублей)</w:t>
      </w:r>
      <w:r>
        <w:rPr>
          <w:rFonts w:ascii="Times New Roman CYR" w:hAnsi="Times New Roman CYR"/>
          <w:sz w:val="28"/>
          <w:szCs w:val="28"/>
        </w:rPr>
        <w:t>.</w:t>
      </w:r>
    </w:p>
    <w:p w:rsidR="00A34BAB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</w:t>
      </w:r>
      <w:r w:rsidRPr="001216F2">
        <w:rPr>
          <w:rFonts w:ascii="Times New Roman CYR" w:hAnsi="Times New Roman CYR"/>
          <w:sz w:val="28"/>
          <w:szCs w:val="28"/>
        </w:rPr>
        <w:t>В хозяйствах эффективно использующих  все поддержки показатель на 1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гектар пашни значительно выше, это предприятия СПК «Заря»,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СПК «Криушинский»,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 xml:space="preserve">СПК «Шагаевский», колхозе им. </w:t>
      </w:r>
      <w:r>
        <w:rPr>
          <w:rFonts w:ascii="Times New Roman CYR" w:hAnsi="Times New Roman CYR"/>
          <w:sz w:val="28"/>
          <w:szCs w:val="28"/>
        </w:rPr>
        <w:t xml:space="preserve">Ленина, </w:t>
      </w:r>
      <w:r w:rsidRPr="001216F2">
        <w:rPr>
          <w:rFonts w:ascii="Times New Roman CYR" w:hAnsi="Times New Roman CYR"/>
          <w:sz w:val="28"/>
          <w:szCs w:val="28"/>
        </w:rPr>
        <w:t>СПК «Красный пахарь»</w:t>
      </w:r>
      <w:r>
        <w:rPr>
          <w:rFonts w:ascii="Times New Roman CYR" w:hAnsi="Times New Roman CYR"/>
          <w:sz w:val="28"/>
          <w:szCs w:val="28"/>
        </w:rPr>
        <w:t>.</w:t>
      </w:r>
    </w:p>
    <w:p w:rsidR="00A34BAB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</w:t>
      </w:r>
      <w:r w:rsidRPr="001216F2">
        <w:rPr>
          <w:rFonts w:ascii="Times New Roman CYR" w:hAnsi="Times New Roman CYR"/>
          <w:sz w:val="28"/>
          <w:szCs w:val="28"/>
        </w:rPr>
        <w:t>За 2015год сельскохозяйственные предприятия уплатили налогов, сборов и обязательных платежей- 54,8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рублей. Уплачено налога на доходы физических лиц -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26,6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рублей. 48,5% от общей суммы   Земельного налога уплачено</w:t>
      </w:r>
      <w:r>
        <w:rPr>
          <w:rFonts w:ascii="Times New Roman CYR" w:hAnsi="Times New Roman CYR"/>
          <w:sz w:val="28"/>
          <w:szCs w:val="28"/>
        </w:rPr>
        <w:t xml:space="preserve"> – </w:t>
      </w:r>
      <w:r w:rsidRPr="001216F2">
        <w:rPr>
          <w:rFonts w:ascii="Times New Roman CYR" w:hAnsi="Times New Roman CYR"/>
          <w:sz w:val="28"/>
          <w:szCs w:val="28"/>
        </w:rPr>
        <w:t>500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рублей,</w:t>
      </w:r>
      <w:r>
        <w:rPr>
          <w:rFonts w:ascii="Times New Roman CYR" w:hAnsi="Times New Roman CYR"/>
          <w:sz w:val="28"/>
          <w:szCs w:val="28"/>
        </w:rPr>
        <w:t xml:space="preserve"> е</w:t>
      </w:r>
      <w:r w:rsidRPr="001216F2">
        <w:rPr>
          <w:rFonts w:ascii="Times New Roman CYR" w:hAnsi="Times New Roman CYR"/>
          <w:sz w:val="28"/>
          <w:szCs w:val="28"/>
        </w:rPr>
        <w:t>диного сельскохозяйственного налога -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1млн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Pr="001216F2">
        <w:rPr>
          <w:rFonts w:ascii="Times New Roman CYR" w:hAnsi="Times New Roman CYR"/>
          <w:sz w:val="28"/>
          <w:szCs w:val="28"/>
        </w:rPr>
        <w:t>971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тыс.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рублей.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A34BAB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</w:t>
      </w:r>
      <w:r w:rsidRPr="001216F2">
        <w:rPr>
          <w:rFonts w:ascii="Times New Roman CYR" w:hAnsi="Times New Roman CYR"/>
          <w:sz w:val="28"/>
          <w:szCs w:val="28"/>
        </w:rPr>
        <w:t>Уплачено страховых взносов в государственные внебюджетные фонды всего 48,8 млн.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 xml:space="preserve">рублей, в том числе в пенсионный фонд 73,8%. 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1216F2">
        <w:rPr>
          <w:rFonts w:ascii="Times New Roman CYR" w:hAnsi="Times New Roman CYR"/>
          <w:sz w:val="28"/>
          <w:szCs w:val="28"/>
        </w:rPr>
        <w:t>Всего уплачено всех видов налогов и страховых взносов 103,6млн. рублей, от денежного дохода уплата налогов и платежей в фонды   составляет – 11,8%, рост  затрат на уплату налогов и сборов   к 2014 составил 12%</w:t>
      </w:r>
      <w:r>
        <w:rPr>
          <w:rFonts w:ascii="Times New Roman CYR" w:hAnsi="Times New Roman CYR"/>
          <w:sz w:val="28"/>
          <w:szCs w:val="28"/>
        </w:rPr>
        <w:t>.</w:t>
      </w:r>
    </w:p>
    <w:p w:rsidR="00A34BAB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</w:t>
      </w: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</w:p>
    <w:p w:rsidR="00A34BAB" w:rsidRDefault="00A34BAB" w:rsidP="001A739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                    Таблица 3.</w:t>
      </w:r>
    </w:p>
    <w:p w:rsidR="00A34BAB" w:rsidRDefault="00A34BAB" w:rsidP="00B552AD">
      <w:pPr>
        <w:jc w:val="center"/>
        <w:rPr>
          <w:b/>
          <w:bCs/>
          <w:iCs/>
          <w:sz w:val="28"/>
          <w:szCs w:val="28"/>
        </w:rPr>
      </w:pPr>
    </w:p>
    <w:p w:rsidR="00A34BAB" w:rsidRDefault="00A34BAB" w:rsidP="00B552AD">
      <w:pPr>
        <w:jc w:val="center"/>
        <w:rPr>
          <w:b/>
          <w:bCs/>
          <w:iCs/>
          <w:sz w:val="28"/>
          <w:szCs w:val="28"/>
        </w:rPr>
      </w:pPr>
      <w:r w:rsidRPr="00B552AD">
        <w:rPr>
          <w:b/>
          <w:bCs/>
          <w:iCs/>
          <w:sz w:val="28"/>
          <w:szCs w:val="28"/>
        </w:rPr>
        <w:t>Финансовые результаты деятельности сельскохозяйственных организаций Починковского района (по данным бухгалтерской отчетности)</w:t>
      </w:r>
    </w:p>
    <w:p w:rsidR="00A34BAB" w:rsidRPr="00B552AD" w:rsidRDefault="00A34BAB" w:rsidP="00B552AD">
      <w:pPr>
        <w:jc w:val="center"/>
        <w:rPr>
          <w:b/>
          <w:bCs/>
          <w:iCs/>
          <w:sz w:val="28"/>
          <w:szCs w:val="28"/>
        </w:rPr>
      </w:pPr>
    </w:p>
    <w:tbl>
      <w:tblPr>
        <w:tblW w:w="8138" w:type="dxa"/>
        <w:tblInd w:w="250" w:type="dxa"/>
        <w:tblLayout w:type="fixed"/>
        <w:tblLook w:val="0000"/>
      </w:tblPr>
      <w:tblGrid>
        <w:gridCol w:w="2977"/>
        <w:gridCol w:w="661"/>
        <w:gridCol w:w="1080"/>
        <w:gridCol w:w="1080"/>
        <w:gridCol w:w="1260"/>
        <w:gridCol w:w="1080"/>
      </w:tblGrid>
      <w:tr w:rsidR="00A34BAB" w:rsidRPr="00CC4EC3" w:rsidTr="00F62E24">
        <w:trPr>
          <w:trHeight w:val="15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Default="00A34BAB" w:rsidP="00DF294C">
            <w:pPr>
              <w:jc w:val="center"/>
            </w:pPr>
          </w:p>
          <w:p w:rsidR="00A34BAB" w:rsidRPr="00CC4EC3" w:rsidRDefault="00A34BAB" w:rsidP="00DF294C">
            <w:pPr>
              <w:jc w:val="center"/>
            </w:pPr>
            <w:r w:rsidRPr="00CC4EC3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B552AD" w:rsidRDefault="00A34BAB" w:rsidP="00DF294C">
            <w:pPr>
              <w:ind w:left="-250" w:firstLine="142"/>
              <w:jc w:val="center"/>
              <w:rPr>
                <w:sz w:val="20"/>
                <w:szCs w:val="20"/>
              </w:rPr>
            </w:pPr>
            <w:r w:rsidRPr="00B552AD">
              <w:rPr>
                <w:sz w:val="20"/>
                <w:szCs w:val="20"/>
              </w:rPr>
              <w:t xml:space="preserve">ед. </w:t>
            </w:r>
            <w:r>
              <w:rPr>
                <w:sz w:val="20"/>
                <w:szCs w:val="20"/>
              </w:rPr>
              <w:t xml:space="preserve">  </w:t>
            </w:r>
            <w:r w:rsidRPr="00B552AD">
              <w:rPr>
                <w:sz w:val="20"/>
                <w:szCs w:val="20"/>
              </w:rPr>
              <w:t>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B552AD" w:rsidRDefault="00A34BAB" w:rsidP="00DF294C">
            <w:pPr>
              <w:jc w:val="center"/>
              <w:rPr>
                <w:sz w:val="20"/>
                <w:szCs w:val="20"/>
              </w:rPr>
            </w:pPr>
            <w:r w:rsidRPr="00B552AD">
              <w:rPr>
                <w:sz w:val="20"/>
                <w:szCs w:val="20"/>
              </w:rPr>
              <w:t>2013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B552AD" w:rsidRDefault="00A34BAB" w:rsidP="00DF294C">
            <w:pPr>
              <w:jc w:val="center"/>
              <w:rPr>
                <w:sz w:val="20"/>
                <w:szCs w:val="20"/>
              </w:rPr>
            </w:pPr>
            <w:r w:rsidRPr="00B552AD">
              <w:rPr>
                <w:sz w:val="20"/>
                <w:szCs w:val="20"/>
              </w:rPr>
              <w:t>2014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B552AD" w:rsidRDefault="00A34BAB" w:rsidP="00DF294C">
            <w:pPr>
              <w:jc w:val="center"/>
              <w:rPr>
                <w:sz w:val="20"/>
                <w:szCs w:val="20"/>
                <w:lang w:val="en-US"/>
              </w:rPr>
            </w:pPr>
            <w:r w:rsidRPr="00B552AD">
              <w:rPr>
                <w:sz w:val="20"/>
                <w:szCs w:val="20"/>
              </w:rPr>
              <w:t xml:space="preserve">2015 г.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B552AD" w:rsidRDefault="00A34BAB" w:rsidP="00B552AD">
            <w:pPr>
              <w:jc w:val="center"/>
              <w:rPr>
                <w:iCs/>
                <w:sz w:val="20"/>
                <w:szCs w:val="20"/>
              </w:rPr>
            </w:pPr>
            <w:r w:rsidRPr="00B552AD">
              <w:rPr>
                <w:iCs/>
                <w:sz w:val="20"/>
                <w:szCs w:val="20"/>
              </w:rPr>
              <w:t>2015г.</w:t>
            </w:r>
            <w:r>
              <w:rPr>
                <w:iCs/>
                <w:sz w:val="20"/>
                <w:szCs w:val="20"/>
              </w:rPr>
              <w:br/>
              <w:t xml:space="preserve"> к 2013</w:t>
            </w:r>
            <w:r w:rsidRPr="00B552AD">
              <w:rPr>
                <w:iCs/>
                <w:sz w:val="20"/>
                <w:szCs w:val="20"/>
              </w:rPr>
              <w:t xml:space="preserve"> г. %, п.п.</w:t>
            </w:r>
          </w:p>
        </w:tc>
      </w:tr>
      <w:tr w:rsidR="00A34BAB" w:rsidRPr="00CC4EC3" w:rsidTr="00F62E24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Количество сельхозорганизаций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</w:tr>
      <w:tr w:rsidR="00A34BAB" w:rsidRPr="00CC4EC3" w:rsidTr="00F62E24">
        <w:trPr>
          <w:trHeight w:val="3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 xml:space="preserve">в том числе прибыльных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</w:t>
            </w:r>
          </w:p>
        </w:tc>
      </w:tr>
      <w:tr w:rsidR="00A34BAB" w:rsidRPr="00CC4EC3" w:rsidTr="00F62E24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Удельный вес прибыльных организаций в общем количестве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131</w:t>
            </w:r>
          </w:p>
        </w:tc>
      </w:tr>
      <w:tr w:rsidR="00A34BAB" w:rsidRPr="00CC4EC3" w:rsidTr="00F62E24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Среднесписочная численность работников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тыс.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</w:t>
            </w:r>
          </w:p>
        </w:tc>
      </w:tr>
      <w:tr w:rsidR="00A34BAB" w:rsidRPr="00CC4EC3" w:rsidTr="00F62E2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Среднемесячная заработная плата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11958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12915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14689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</w:t>
            </w:r>
          </w:p>
        </w:tc>
      </w:tr>
      <w:tr w:rsidR="00A34BAB" w:rsidRPr="00CC4EC3" w:rsidTr="00F62E2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 xml:space="preserve">Выручка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млн</w:t>
            </w:r>
            <w:r w:rsidRPr="00CC4EC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901,4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733,3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894,4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</w:t>
            </w:r>
          </w:p>
        </w:tc>
      </w:tr>
      <w:tr w:rsidR="00A34BAB" w:rsidRPr="00CC4EC3" w:rsidTr="00F62E24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Себестоимость продаж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млн</w:t>
            </w:r>
            <w:r w:rsidRPr="00CC4EC3">
              <w:t xml:space="preserve">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1015,3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763,9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</w:t>
            </w:r>
          </w:p>
        </w:tc>
      </w:tr>
      <w:tr w:rsidR="00A34BAB" w:rsidRPr="00CC4EC3" w:rsidTr="00F62E24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Прибыль (убыток) до налогообложения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млнд</w:t>
            </w:r>
            <w:r w:rsidRPr="00CC4EC3"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-296,4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63,1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-95,5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A34BAB" w:rsidRPr="00CC4EC3" w:rsidTr="00F62E24">
        <w:trPr>
          <w:trHeight w:val="4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Субсидии из бюджетов всех уровней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млн</w:t>
            </w:r>
            <w:r w:rsidRPr="00CC4EC3">
              <w:t xml:space="preserve">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155,7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119,7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75,5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A34BAB" w:rsidRPr="00CC4EC3" w:rsidTr="00F62E24">
        <w:trPr>
          <w:trHeight w:val="7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Уровень рентабельности от производственно-финансовой деятельности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 xml:space="preserve">-29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8,26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1,31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</w:p>
        </w:tc>
      </w:tr>
      <w:tr w:rsidR="00A34BAB" w:rsidRPr="00CC4EC3" w:rsidTr="00F62E24">
        <w:trPr>
          <w:trHeight w:val="96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r w:rsidRPr="00CC4EC3">
              <w:t>Уровень рентабельности от производственно-финансовой деятельности (без учета субсидий)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 w:rsidRPr="00CC4EC3"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-44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-7,0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</w:pPr>
            <w:r>
              <w:t>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BAB" w:rsidRPr="00CC4EC3" w:rsidRDefault="00A34BAB" w:rsidP="00DF294C">
            <w:pPr>
              <w:jc w:val="center"/>
              <w:rPr>
                <w:i/>
                <w:iCs/>
              </w:rPr>
            </w:pPr>
          </w:p>
        </w:tc>
      </w:tr>
    </w:tbl>
    <w:p w:rsidR="00A34BAB" w:rsidRDefault="00A34BAB" w:rsidP="001216F2">
      <w:pPr>
        <w:jc w:val="both"/>
        <w:rPr>
          <w:rFonts w:ascii="Times New Roman CYR" w:hAnsi="Times New Roman CYR"/>
          <w:sz w:val="28"/>
          <w:szCs w:val="28"/>
        </w:rPr>
      </w:pPr>
    </w:p>
    <w:p w:rsidR="00A34BAB" w:rsidRPr="00162276" w:rsidRDefault="00A34BAB" w:rsidP="0016227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62276">
        <w:rPr>
          <w:rFonts w:ascii="Times New Roman CYR" w:hAnsi="Times New Roman CYR" w:cs="Times New Roman CYR"/>
          <w:sz w:val="28"/>
          <w:szCs w:val="28"/>
        </w:rPr>
        <w:t>Сельское хозяйство  района сегодня находится в  сложном финансовом положении: с одной стороны,  снижение государственных инвестиций; с другой – недостаток собственных источников  для осуществления рентабельного производства</w:t>
      </w:r>
      <w:r>
        <w:rPr>
          <w:rFonts w:ascii="Times New Roman CYR" w:hAnsi="Times New Roman CYR" w:cs="Times New Roman CYR"/>
          <w:sz w:val="28"/>
          <w:szCs w:val="28"/>
        </w:rPr>
        <w:t xml:space="preserve">, однако </w:t>
      </w:r>
      <w:r w:rsidRPr="00162276">
        <w:rPr>
          <w:rFonts w:ascii="Times New Roman CYR" w:hAnsi="Times New Roman CYR" w:cs="Times New Roman CYR"/>
          <w:sz w:val="28"/>
          <w:szCs w:val="28"/>
        </w:rPr>
        <w:t xml:space="preserve"> известно, что половина рентабельности производства формируется непосредственно от хозяйственной деятельности самих предприятий.  В предприятиях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162276">
        <w:rPr>
          <w:rFonts w:ascii="Times New Roman CYR" w:hAnsi="Times New Roman CYR" w:cs="Times New Roman CYR"/>
          <w:sz w:val="28"/>
          <w:szCs w:val="28"/>
        </w:rPr>
        <w:t xml:space="preserve">  где соблюдаются все составляющие эффективности - это наличие хорошего учета и контроля и отчетности, уровня организации труда, соблюдение технологической  дисциплины результаты работы значительно выше.</w:t>
      </w:r>
    </w:p>
    <w:p w:rsidR="00A34BAB" w:rsidRPr="00162276" w:rsidRDefault="00A34BAB" w:rsidP="00162276">
      <w:pPr>
        <w:jc w:val="both"/>
        <w:rPr>
          <w:rFonts w:ascii="Times New Roman CYR" w:hAnsi="Times New Roman CYR"/>
          <w:sz w:val="28"/>
          <w:szCs w:val="28"/>
        </w:rPr>
      </w:pPr>
      <w:r w:rsidRPr="00F86420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86420">
        <w:rPr>
          <w:sz w:val="28"/>
          <w:szCs w:val="28"/>
        </w:rPr>
        <w:t>Составной частью Программы развития АПК является  развитие и поддержка малых форм  хозяйствования на сел</w:t>
      </w:r>
      <w:r>
        <w:rPr>
          <w:sz w:val="28"/>
          <w:szCs w:val="28"/>
        </w:rPr>
        <w:t>е. По состоянию на 1 января 2016</w:t>
      </w:r>
      <w:r w:rsidRPr="00F8642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районе зарегистрировано 10520</w:t>
      </w:r>
      <w:r w:rsidRPr="00F86420">
        <w:rPr>
          <w:sz w:val="28"/>
          <w:szCs w:val="28"/>
        </w:rPr>
        <w:t xml:space="preserve"> личных подсобных хозяйства  (ЛПХ). В личных хозяйствах гражда</w:t>
      </w:r>
      <w:r>
        <w:rPr>
          <w:sz w:val="28"/>
          <w:szCs w:val="28"/>
        </w:rPr>
        <w:t xml:space="preserve">н района  содержится  около 1,6 </w:t>
      </w:r>
      <w:r w:rsidRPr="00F86420">
        <w:rPr>
          <w:sz w:val="28"/>
          <w:szCs w:val="28"/>
        </w:rPr>
        <w:t>тысяч  голов КРС (в том числе 700 голов коров), более 170 га составляют посевные площади сельскохозяйственных культур, более 5200 пчелосемей. Личные подсобные хозяйства полностью обеспечивают потребности населения в овощах и картофеле.</w:t>
      </w:r>
    </w:p>
    <w:p w:rsidR="00A34BAB" w:rsidRPr="00F86420" w:rsidRDefault="00A34BAB" w:rsidP="00162276">
      <w:pPr>
        <w:spacing w:line="240" w:lineRule="atLeast"/>
        <w:jc w:val="both"/>
        <w:rPr>
          <w:sz w:val="28"/>
          <w:szCs w:val="28"/>
        </w:rPr>
      </w:pPr>
      <w:r w:rsidRPr="00F86420">
        <w:rPr>
          <w:sz w:val="28"/>
          <w:szCs w:val="28"/>
        </w:rPr>
        <w:t xml:space="preserve">           В управ</w:t>
      </w:r>
      <w:r>
        <w:rPr>
          <w:sz w:val="28"/>
          <w:szCs w:val="28"/>
        </w:rPr>
        <w:t>ление сельского хозяйства в 2015</w:t>
      </w:r>
      <w:r w:rsidRPr="00F86420">
        <w:rPr>
          <w:sz w:val="28"/>
          <w:szCs w:val="28"/>
        </w:rPr>
        <w:t xml:space="preserve"> году, с заявлениями на  п</w:t>
      </w:r>
      <w:r>
        <w:rPr>
          <w:sz w:val="28"/>
          <w:szCs w:val="28"/>
        </w:rPr>
        <w:t>олучение кредита,  обратились 28</w:t>
      </w:r>
      <w:r w:rsidRPr="00F8642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F86420">
        <w:rPr>
          <w:sz w:val="28"/>
          <w:szCs w:val="28"/>
        </w:rPr>
        <w:t xml:space="preserve"> </w:t>
      </w:r>
    </w:p>
    <w:p w:rsidR="00A34BAB" w:rsidRDefault="00A34BAB" w:rsidP="00A81F0E">
      <w:pPr>
        <w:spacing w:line="240" w:lineRule="atLeast"/>
        <w:ind w:firstLine="708"/>
        <w:jc w:val="both"/>
        <w:rPr>
          <w:sz w:val="28"/>
          <w:szCs w:val="28"/>
        </w:rPr>
      </w:pPr>
      <w:r w:rsidRPr="00F86420">
        <w:rPr>
          <w:sz w:val="28"/>
          <w:szCs w:val="28"/>
        </w:rPr>
        <w:t>Проблемы развития сельского хозяйства  заключаются в отсутствии в части предприятий квалифицированных специалистов и руководителей, присутствие  нестабильности с ценами на сельхозпродукцию и энергоносители, низкая производительность труда.</w:t>
      </w:r>
    </w:p>
    <w:p w:rsidR="00A34BAB" w:rsidRDefault="00A34BAB" w:rsidP="0079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2015 году управлением сельского хозяйства и земельной реформы администрации Починковского муниципального района сформированы  и своевременно представлены в Министерство сельского хозяйства  и продовольственных ресурсов Нижегородской области:</w:t>
      </w:r>
    </w:p>
    <w:p w:rsidR="00A34BAB" w:rsidRDefault="00A34BAB" w:rsidP="0079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годовой отчет о состоянии товаропроизводителей агропромышленного комплекса Починковского муниципального района за 2014 год;</w:t>
      </w:r>
    </w:p>
    <w:p w:rsidR="00A34BAB" w:rsidRDefault="00A34BAB" w:rsidP="0079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      месячные и квартальные отчеты;</w:t>
      </w:r>
    </w:p>
    <w:p w:rsidR="00A34BAB" w:rsidRDefault="00A34BAB" w:rsidP="0079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плановые показатели по всем категориям сельхозтоваропроизводителей Починковского муниципального района на 2015 год;</w:t>
      </w:r>
    </w:p>
    <w:p w:rsidR="00A34BAB" w:rsidRDefault="00A34BAB" w:rsidP="006A588B">
      <w:pPr>
        <w:tabs>
          <w:tab w:val="left" w:pos="15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годовой и квартальный анализы финансово-экономического состояния товаропроизводителей агропромышленного комплекса Починковского муниципального района.</w:t>
      </w:r>
    </w:p>
    <w:p w:rsidR="00A34BAB" w:rsidRDefault="00A34BAB" w:rsidP="008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течение 2015 года оказывалась консультативная помощь руководителям, специалистам сельхозпредприятий Починковского муниципального района в составлении отчетности, ведении бухгалтерских документов, по вопросам планирования и анализа производственной деятельности. Перед составлением годовой бухгалтерской отчетности за 2016 год Управлением сельского хозяйства и земельной реформы администрации Починковского муниципального района проводились семинары  с главными бухгалтерами сельхозтоваропроизводителей для повышения качества отчетности и её оценки. </w:t>
      </w:r>
    </w:p>
    <w:p w:rsidR="00A34BAB" w:rsidRDefault="00A34BAB" w:rsidP="008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управления сельского хозяйства в течение 2015 года совершали плановый объезд всех сельхозпроизводителей, для контроля и оценки достоверности предоставляемой отчетности, реального состояния предприятий. </w:t>
      </w:r>
    </w:p>
    <w:p w:rsidR="00A34BAB" w:rsidRDefault="00A34BAB" w:rsidP="008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Управлением сельского хозяйства разработан План по всем категориям сельхозтоваропроизводителей Починковского муниципального района на 2016 год, с соответствии с целевыми индикаторами Починковского района по реализации государственной программы «Развитие агропромышленного комплекса Нижегородской области» и в увязке с показателями Соглашений о сотрудничестве между администрацией Починковского муниципального района и сельхозпредприятиями, заключенных на 2016 год.</w:t>
      </w:r>
    </w:p>
    <w:p w:rsidR="00A34BAB" w:rsidRDefault="00A34BAB" w:rsidP="008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Специалисты управления сельского хозяйства в течение 2015 года принимали участие в семинарах и совещаниях, посвященных как непосредственно вопросам сельского хозяйства, так и вопросам погашения недоимки по налогам в бюджет. Проводилась активная работа с основными налогоплательщиками сельхозпроизводителями. </w:t>
      </w:r>
    </w:p>
    <w:p w:rsidR="00A34BAB" w:rsidRDefault="00A34BAB" w:rsidP="008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Управлением сельского хозяйства и земельной реформы Починковского муниципального района, все изменения в законодательстве за 2015 год были донесены до руководителей и специалистов предприятий своевременно и с подробным разъяснением. </w:t>
      </w:r>
    </w:p>
    <w:p w:rsidR="00A34BAB" w:rsidRDefault="00A34BAB" w:rsidP="006A588B">
      <w:pPr>
        <w:tabs>
          <w:tab w:val="left" w:pos="1590"/>
        </w:tabs>
        <w:ind w:firstLine="708"/>
        <w:jc w:val="both"/>
        <w:rPr>
          <w:sz w:val="28"/>
          <w:szCs w:val="28"/>
        </w:rPr>
      </w:pPr>
    </w:p>
    <w:p w:rsidR="00A34BAB" w:rsidRDefault="00A34BAB" w:rsidP="00797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34BAB" w:rsidRDefault="00A34BAB" w:rsidP="00A81F0E">
      <w:pPr>
        <w:spacing w:line="240" w:lineRule="atLeast"/>
        <w:ind w:firstLine="708"/>
        <w:jc w:val="both"/>
        <w:rPr>
          <w:sz w:val="28"/>
          <w:szCs w:val="28"/>
        </w:rPr>
      </w:pPr>
    </w:p>
    <w:p w:rsidR="00A34BAB" w:rsidRDefault="00A34BAB" w:rsidP="00A81F0E">
      <w:pPr>
        <w:spacing w:line="240" w:lineRule="atLeast"/>
        <w:ind w:firstLine="708"/>
        <w:jc w:val="both"/>
        <w:rPr>
          <w:sz w:val="28"/>
          <w:szCs w:val="28"/>
        </w:rPr>
      </w:pPr>
    </w:p>
    <w:p w:rsidR="00A34BAB" w:rsidRPr="00F86420" w:rsidRDefault="00A34BAB" w:rsidP="00A81F0E">
      <w:pPr>
        <w:spacing w:line="240" w:lineRule="atLeast"/>
        <w:ind w:firstLine="708"/>
        <w:jc w:val="both"/>
        <w:rPr>
          <w:sz w:val="28"/>
          <w:szCs w:val="28"/>
        </w:rPr>
      </w:pPr>
    </w:p>
    <w:p w:rsidR="00A34BAB" w:rsidRDefault="00A34BAB" w:rsidP="00383BB3">
      <w:pPr>
        <w:tabs>
          <w:tab w:val="left" w:pos="7294"/>
        </w:tabs>
        <w:rPr>
          <w:sz w:val="28"/>
          <w:szCs w:val="28"/>
        </w:rPr>
      </w:pPr>
    </w:p>
    <w:p w:rsidR="00A34BAB" w:rsidRDefault="00A34BAB" w:rsidP="00383BB3">
      <w:pPr>
        <w:tabs>
          <w:tab w:val="left" w:pos="7294"/>
        </w:tabs>
        <w:rPr>
          <w:sz w:val="28"/>
          <w:szCs w:val="28"/>
        </w:rPr>
      </w:pPr>
    </w:p>
    <w:p w:rsidR="00A34BAB" w:rsidRDefault="00A34BAB" w:rsidP="00383BB3">
      <w:pPr>
        <w:tabs>
          <w:tab w:val="left" w:pos="729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сельского </w:t>
      </w:r>
      <w:r>
        <w:rPr>
          <w:sz w:val="28"/>
          <w:szCs w:val="28"/>
        </w:rPr>
        <w:tab/>
        <w:t>О.В. Пузанкова</w:t>
      </w:r>
    </w:p>
    <w:p w:rsidR="00A34BAB" w:rsidRPr="00F86420" w:rsidRDefault="00A34BAB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sectPr w:rsidR="00A34BAB" w:rsidRPr="00F86420" w:rsidSect="002A54D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AB" w:rsidRDefault="00A34BAB" w:rsidP="00F63803">
      <w:r>
        <w:separator/>
      </w:r>
    </w:p>
  </w:endnote>
  <w:endnote w:type="continuationSeparator" w:id="1">
    <w:p w:rsidR="00A34BAB" w:rsidRDefault="00A34BAB" w:rsidP="00F6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AB" w:rsidRDefault="00A34BAB" w:rsidP="00F63803">
      <w:r>
        <w:separator/>
      </w:r>
    </w:p>
  </w:footnote>
  <w:footnote w:type="continuationSeparator" w:id="1">
    <w:p w:rsidR="00A34BAB" w:rsidRDefault="00A34BAB" w:rsidP="00F6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AB" w:rsidRDefault="00A34BAB" w:rsidP="003500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BAB" w:rsidRDefault="00A34BAB" w:rsidP="000B09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AB" w:rsidRDefault="00A34BAB" w:rsidP="003500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34BAB" w:rsidRDefault="00A34BAB" w:rsidP="000B091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8F"/>
    <w:rsid w:val="0002573E"/>
    <w:rsid w:val="000567E7"/>
    <w:rsid w:val="000641F2"/>
    <w:rsid w:val="000B0911"/>
    <w:rsid w:val="000C13F9"/>
    <w:rsid w:val="000D3E8E"/>
    <w:rsid w:val="001216F2"/>
    <w:rsid w:val="0012317A"/>
    <w:rsid w:val="00127AB2"/>
    <w:rsid w:val="00133125"/>
    <w:rsid w:val="00154A19"/>
    <w:rsid w:val="00162276"/>
    <w:rsid w:val="001808A3"/>
    <w:rsid w:val="001A7399"/>
    <w:rsid w:val="001C1596"/>
    <w:rsid w:val="001E543D"/>
    <w:rsid w:val="002A54D6"/>
    <w:rsid w:val="002C3CD7"/>
    <w:rsid w:val="002E7FAA"/>
    <w:rsid w:val="002F6748"/>
    <w:rsid w:val="003221F2"/>
    <w:rsid w:val="003500D4"/>
    <w:rsid w:val="00371150"/>
    <w:rsid w:val="003736D3"/>
    <w:rsid w:val="00383BB3"/>
    <w:rsid w:val="0039126E"/>
    <w:rsid w:val="003A3333"/>
    <w:rsid w:val="003D109E"/>
    <w:rsid w:val="00431AFD"/>
    <w:rsid w:val="004437C8"/>
    <w:rsid w:val="0044618C"/>
    <w:rsid w:val="004A0E42"/>
    <w:rsid w:val="004A7795"/>
    <w:rsid w:val="004B580A"/>
    <w:rsid w:val="004F1A49"/>
    <w:rsid w:val="00544831"/>
    <w:rsid w:val="00566554"/>
    <w:rsid w:val="0059679F"/>
    <w:rsid w:val="0059719B"/>
    <w:rsid w:val="005D66E3"/>
    <w:rsid w:val="005F4AF5"/>
    <w:rsid w:val="006148CF"/>
    <w:rsid w:val="00695CD7"/>
    <w:rsid w:val="006A004F"/>
    <w:rsid w:val="006A588B"/>
    <w:rsid w:val="006B74AD"/>
    <w:rsid w:val="006B74C9"/>
    <w:rsid w:val="006E5CFC"/>
    <w:rsid w:val="007465AA"/>
    <w:rsid w:val="00753AAF"/>
    <w:rsid w:val="00767492"/>
    <w:rsid w:val="0077286D"/>
    <w:rsid w:val="00793A94"/>
    <w:rsid w:val="00797B38"/>
    <w:rsid w:val="007B28CB"/>
    <w:rsid w:val="007E5016"/>
    <w:rsid w:val="0081170A"/>
    <w:rsid w:val="00854102"/>
    <w:rsid w:val="00856FB2"/>
    <w:rsid w:val="00866D74"/>
    <w:rsid w:val="00883EAA"/>
    <w:rsid w:val="008E15FC"/>
    <w:rsid w:val="008E5470"/>
    <w:rsid w:val="00950CB5"/>
    <w:rsid w:val="009522D4"/>
    <w:rsid w:val="00992FAF"/>
    <w:rsid w:val="009A0F4A"/>
    <w:rsid w:val="009C484F"/>
    <w:rsid w:val="009E4C14"/>
    <w:rsid w:val="009F4E52"/>
    <w:rsid w:val="00A1793B"/>
    <w:rsid w:val="00A34BAB"/>
    <w:rsid w:val="00A50C8E"/>
    <w:rsid w:val="00A8165D"/>
    <w:rsid w:val="00A81F0E"/>
    <w:rsid w:val="00A955E5"/>
    <w:rsid w:val="00AD1D9E"/>
    <w:rsid w:val="00AF6023"/>
    <w:rsid w:val="00B02C32"/>
    <w:rsid w:val="00B23E45"/>
    <w:rsid w:val="00B552AD"/>
    <w:rsid w:val="00BB2162"/>
    <w:rsid w:val="00BB2215"/>
    <w:rsid w:val="00C00454"/>
    <w:rsid w:val="00C04114"/>
    <w:rsid w:val="00C37312"/>
    <w:rsid w:val="00C44E8C"/>
    <w:rsid w:val="00C639E0"/>
    <w:rsid w:val="00C86973"/>
    <w:rsid w:val="00CC4EC3"/>
    <w:rsid w:val="00CE2755"/>
    <w:rsid w:val="00D023D2"/>
    <w:rsid w:val="00D26E85"/>
    <w:rsid w:val="00D5247B"/>
    <w:rsid w:val="00DD4983"/>
    <w:rsid w:val="00DE2E84"/>
    <w:rsid w:val="00DF294C"/>
    <w:rsid w:val="00E5296F"/>
    <w:rsid w:val="00E52A2A"/>
    <w:rsid w:val="00E74C69"/>
    <w:rsid w:val="00E87BBA"/>
    <w:rsid w:val="00EB495D"/>
    <w:rsid w:val="00EC39D7"/>
    <w:rsid w:val="00ED1CE0"/>
    <w:rsid w:val="00F45891"/>
    <w:rsid w:val="00F62E24"/>
    <w:rsid w:val="00F63803"/>
    <w:rsid w:val="00F86420"/>
    <w:rsid w:val="00FB2B8F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B8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638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8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638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80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B09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9</Pages>
  <Words>2514</Words>
  <Characters>14331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25</cp:revision>
  <cp:lastPrinted>2017-04-03T10:52:00Z</cp:lastPrinted>
  <dcterms:created xsi:type="dcterms:W3CDTF">2017-02-17T07:47:00Z</dcterms:created>
  <dcterms:modified xsi:type="dcterms:W3CDTF">2017-04-04T07:45:00Z</dcterms:modified>
</cp:coreProperties>
</file>