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64.5pt">
            <v:imagedata r:id="rId8" o:title="логотип нижнов"/>
          </v:shape>
        </w:pict>
      </w:r>
    </w:p>
    <w:p>
      <w:pPr>
        <w:ind w:firstLine="851"/>
        <w:jc w:val="both"/>
      </w:pPr>
    </w:p>
    <w:p>
      <w:pPr>
        <w:ind w:firstLine="851"/>
        <w:jc w:val="both"/>
      </w:pPr>
    </w:p>
    <w:p>
      <w:pPr>
        <w:spacing w:before="240"/>
        <w:ind w:right="-2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>
      <w:pPr>
        <w:spacing w:before="240"/>
        <w:ind w:right="-2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>
      <w:pPr>
        <w:spacing w:before="240"/>
        <w:ind w:right="-2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fldChar w:fldCharType="begin"/>
      </w:r>
      <w:r>
        <w:rPr>
          <w:rFonts w:ascii="Arial Narrow" w:hAnsi="Arial Narrow" w:cs="Arial"/>
          <w:b/>
        </w:rPr>
        <w:instrText xml:space="preserve"> DATE  \@ "d MMMM yyyy 'г.'"  \* MERGEFORMAT </w:instrText>
      </w:r>
      <w:r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  <w:noProof/>
        </w:rPr>
        <w:t>30 августа 2019 г.</w:t>
      </w:r>
      <w:r>
        <w:rPr>
          <w:rFonts w:ascii="Arial Narrow" w:hAnsi="Arial Narrow" w:cs="Arial"/>
          <w:b/>
        </w:rPr>
        <w:fldChar w:fldCharType="end"/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г. Нижний Новгород</w:t>
      </w: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Россети</w:t>
      </w:r>
      <w:proofErr w:type="spellEnd"/>
      <w:r>
        <w:rPr>
          <w:b/>
          <w:color w:val="000000"/>
          <w:sz w:val="28"/>
          <w:szCs w:val="28"/>
        </w:rPr>
        <w:t xml:space="preserve"> Центр и Приволжье Нижновэнерго» предостерегает от занятий парашютным спортом вблизи </w:t>
      </w:r>
      <w:proofErr w:type="spellStart"/>
      <w:r>
        <w:rPr>
          <w:b/>
          <w:color w:val="000000"/>
          <w:sz w:val="28"/>
          <w:szCs w:val="28"/>
        </w:rPr>
        <w:t>энергообъектов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Нижегородские энергетики предупреждают любителей парашютных видов спорта о недопустимости проведения соревнований и тренировок в непосредственной близости от </w:t>
      </w:r>
      <w:proofErr w:type="spellStart"/>
      <w:r>
        <w:rPr>
          <w:b/>
          <w:color w:val="000000"/>
          <w:sz w:val="28"/>
          <w:szCs w:val="28"/>
        </w:rPr>
        <w:t>энергообъектов</w:t>
      </w:r>
      <w:proofErr w:type="spellEnd"/>
      <w:r>
        <w:rPr>
          <w:b/>
          <w:color w:val="000000"/>
          <w:sz w:val="28"/>
          <w:szCs w:val="28"/>
        </w:rPr>
        <w:t xml:space="preserve"> и трасс воздушных линий электропередачи.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таких популярных в настоящее время экстремальных видах спорта, как </w:t>
      </w:r>
      <w:proofErr w:type="spellStart"/>
      <w:r>
        <w:rPr>
          <w:sz w:val="28"/>
          <w:szCs w:val="28"/>
        </w:rPr>
        <w:t>кайтсерфинг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парапланеризм</w:t>
      </w:r>
      <w:proofErr w:type="spellEnd"/>
      <w:r>
        <w:rPr>
          <w:sz w:val="28"/>
          <w:szCs w:val="28"/>
        </w:rPr>
        <w:t>, обязательной частью спортивного снаряжения являются различные парашютные системы с большим количеством строп. Движение происходит под воздействием силы тяги, развиваемой спортсменом с воздушным змеем (</w:t>
      </w:r>
      <w:proofErr w:type="spellStart"/>
      <w:r>
        <w:rPr>
          <w:sz w:val="28"/>
          <w:szCs w:val="28"/>
        </w:rPr>
        <w:t>кайтом</w:t>
      </w:r>
      <w:proofErr w:type="spellEnd"/>
      <w:r>
        <w:rPr>
          <w:sz w:val="28"/>
          <w:szCs w:val="28"/>
        </w:rPr>
        <w:t xml:space="preserve">), при этом человек не может полностью контролировать энергию ветра и направление движения. 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тренировка происходит в несанкционированном месте, например, вблизи трансформаторных подстанций или воздушных линий электропередачи (ВЛ), то спортсмен рискует столкнуться с электроустановкой. Такое столкновение и запутывание строп в проводах ВЛ может привести к поражению электрическим током (даже без обрыва проводов) и вызвать технологические нарушения в работе электросетевого комплекса.</w:t>
      </w:r>
      <w:bookmarkStart w:id="0" w:name="_GoBack"/>
      <w:bookmarkEnd w:id="0"/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</w:rPr>
        <w:t xml:space="preserve">Уважаемые нижегородцы, соблюдайте необходимые меры предосторожности вблизи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>! Обо всех нарушениях и повреждениях в электросетевом комплексе сообщайте в Контакт-центр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Центр и Приволжье» по номеру 8-800-100-33-00 или по телефону, указанному на дверях трансформаторной подстанции в вашем населенном пункте, а также в администрацию муниципального образования или в единую дежурно-диспетчерскую службу муниципального образования по номеру 112.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В настоящее время </w:t>
      </w: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оказывает услуги по передаче электроэнергии и технологическому присоединению к электросетям в Нижегородской области. В состав </w:t>
      </w: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входят 9 производственных отделений (ПО), которые обслуживают территорию площадью 76,6 тысяч квадратных километров с населением 3,3 миллиона человек.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Приволжье» </w:t>
      </w:r>
      <w:r>
        <w:rPr>
          <w:rFonts w:ascii="Arial Narrow" w:hAnsi="Arial Narrow"/>
          <w:sz w:val="20"/>
          <w:szCs w:val="20"/>
        </w:rPr>
        <w:t>– дочернее общество крупнейшей в Российской Федерации энергокомпании ПАО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>».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 xml:space="preserve"> Центр и Приволжья»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является основным поставщиком услуг по передаче электроэнергии и </w:t>
      </w:r>
      <w:r>
        <w:rPr>
          <w:rFonts w:ascii="Arial Narrow" w:hAnsi="Arial Narrow"/>
          <w:sz w:val="20"/>
          <w:szCs w:val="20"/>
        </w:rPr>
        <w:lastRenderedPageBreak/>
        <w:t xml:space="preserve">технологическому присоединению к электросетям во Владимирской, Ивановской, Калужской, Кировской, Нижегородской, Рязанской, Тульской областях, в Республике Марий Эл и Удмуртской Республике. 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Под управлением </w:t>
      </w: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Приволжье» </w:t>
      </w:r>
      <w:r>
        <w:rPr>
          <w:rFonts w:ascii="Arial Narrow" w:hAnsi="Arial Narrow"/>
          <w:sz w:val="20"/>
          <w:szCs w:val="20"/>
        </w:rPr>
        <w:t xml:space="preserve">находится 273 тыс. км воздушных и кабельных линий электропередачи, свыше 1,5 тыс. подстанций 35-220 </w:t>
      </w:r>
      <w:proofErr w:type="spellStart"/>
      <w:r>
        <w:rPr>
          <w:rFonts w:ascii="Arial Narrow" w:hAnsi="Arial Narrow"/>
          <w:sz w:val="20"/>
          <w:szCs w:val="20"/>
        </w:rPr>
        <w:t>кВ</w:t>
      </w:r>
      <w:proofErr w:type="spellEnd"/>
      <w:r>
        <w:rPr>
          <w:rFonts w:ascii="Arial Narrow" w:hAnsi="Arial Narrow"/>
          <w:sz w:val="20"/>
          <w:szCs w:val="20"/>
        </w:rPr>
        <w:t xml:space="preserve">, 64 тыс. трансформаторных подстанций 6-35/0,4 </w:t>
      </w:r>
      <w:proofErr w:type="spellStart"/>
      <w:r>
        <w:rPr>
          <w:rFonts w:ascii="Arial Narrow" w:hAnsi="Arial Narrow"/>
          <w:sz w:val="20"/>
          <w:szCs w:val="20"/>
        </w:rPr>
        <w:t>кВ</w:t>
      </w:r>
      <w:proofErr w:type="spellEnd"/>
      <w:r>
        <w:rPr>
          <w:rFonts w:ascii="Arial Narrow" w:hAnsi="Arial Narrow"/>
          <w:sz w:val="20"/>
          <w:szCs w:val="20"/>
        </w:rPr>
        <w:t xml:space="preserve"> и распределительных пунктов 6-10 </w:t>
      </w:r>
      <w:proofErr w:type="spellStart"/>
      <w:r>
        <w:rPr>
          <w:rFonts w:ascii="Arial Narrow" w:hAnsi="Arial Narrow"/>
          <w:sz w:val="20"/>
          <w:szCs w:val="20"/>
        </w:rPr>
        <w:t>кВ.</w:t>
      </w:r>
      <w:proofErr w:type="spellEnd"/>
      <w:r>
        <w:rPr>
          <w:rFonts w:ascii="Arial Narrow" w:hAnsi="Arial Narrow"/>
          <w:sz w:val="20"/>
          <w:szCs w:val="20"/>
        </w:rPr>
        <w:t xml:space="preserve"> Общая мощность этих </w:t>
      </w:r>
      <w:proofErr w:type="spellStart"/>
      <w:r>
        <w:rPr>
          <w:rFonts w:ascii="Arial Narrow" w:hAnsi="Arial Narrow"/>
          <w:sz w:val="20"/>
          <w:szCs w:val="20"/>
        </w:rPr>
        <w:t>энергообъектов</w:t>
      </w:r>
      <w:proofErr w:type="spellEnd"/>
      <w:r>
        <w:rPr>
          <w:rFonts w:ascii="Arial Narrow" w:hAnsi="Arial Narrow"/>
          <w:sz w:val="20"/>
          <w:szCs w:val="20"/>
        </w:rPr>
        <w:t xml:space="preserve"> превышает 42,5 тыс. МВА. Трудовой коллектив энергокомпании насчитывает более 22,3 тыс. человек.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 11 сентября 2017 года полномочия единоличного исполнительного органа ПАО «МРСК Центра и Приволжья» переданы ПАО «МРСК Центра».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Основными акционерами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 xml:space="preserve"> Центр и Приволжья»», кроме ПАО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 xml:space="preserve">», являются компании </w:t>
      </w:r>
      <w:proofErr w:type="spellStart"/>
      <w:r>
        <w:rPr>
          <w:rFonts w:ascii="Arial Narrow" w:hAnsi="Arial Narrow"/>
          <w:sz w:val="20"/>
          <w:szCs w:val="20"/>
        </w:rPr>
        <w:t>Genhold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Limited</w:t>
      </w:r>
      <w:proofErr w:type="spellEnd"/>
      <w:r>
        <w:rPr>
          <w:rFonts w:ascii="Arial Narrow" w:hAnsi="Arial Narrow"/>
          <w:sz w:val="20"/>
          <w:szCs w:val="20"/>
        </w:rPr>
        <w:t xml:space="preserve"> и </w:t>
      </w:r>
      <w:proofErr w:type="spellStart"/>
      <w:r>
        <w:rPr>
          <w:rFonts w:ascii="Arial Narrow" w:hAnsi="Arial Narrow"/>
          <w:sz w:val="20"/>
          <w:szCs w:val="20"/>
        </w:rPr>
        <w:t>Energyo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Solutions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Russia</w:t>
      </w:r>
      <w:proofErr w:type="spellEnd"/>
      <w:r>
        <w:rPr>
          <w:rFonts w:ascii="Arial Narrow" w:hAnsi="Arial Narrow"/>
          <w:sz w:val="20"/>
          <w:szCs w:val="20"/>
        </w:rPr>
        <w:t xml:space="preserve"> (</w:t>
      </w:r>
      <w:proofErr w:type="spellStart"/>
      <w:r>
        <w:rPr>
          <w:rFonts w:ascii="Arial Narrow" w:hAnsi="Arial Narrow"/>
          <w:sz w:val="20"/>
          <w:szCs w:val="20"/>
        </w:rPr>
        <w:t>Cyprus</w:t>
      </w:r>
      <w:proofErr w:type="spellEnd"/>
      <w:r>
        <w:rPr>
          <w:rFonts w:ascii="Arial Narrow" w:hAnsi="Arial Narrow"/>
          <w:sz w:val="20"/>
          <w:szCs w:val="20"/>
        </w:rPr>
        <w:t xml:space="preserve">) </w:t>
      </w:r>
      <w:proofErr w:type="spellStart"/>
      <w:r>
        <w:rPr>
          <w:rFonts w:ascii="Arial Narrow" w:hAnsi="Arial Narrow"/>
          <w:sz w:val="20"/>
          <w:szCs w:val="20"/>
        </w:rPr>
        <w:t>Limited</w:t>
      </w:r>
      <w:proofErr w:type="spellEnd"/>
      <w:r>
        <w:rPr>
          <w:rFonts w:ascii="Arial Narrow" w:hAnsi="Arial Narrow"/>
          <w:sz w:val="20"/>
          <w:szCs w:val="20"/>
        </w:rPr>
        <w:t>. В свободном обращении находится 27.5 % акций ПАО «МРСК Центра и Приволжья». Общее количество акционеров — более 22,9 тыс.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Компания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 xml:space="preserve">»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>
        <w:rPr>
          <w:rFonts w:ascii="Arial Narrow" w:hAnsi="Arial Narrow"/>
          <w:sz w:val="20"/>
          <w:szCs w:val="20"/>
        </w:rPr>
        <w:t>кВт∙ч</w:t>
      </w:r>
      <w:proofErr w:type="spellEnd"/>
      <w:r>
        <w:rPr>
          <w:rFonts w:ascii="Arial Narrow" w:hAnsi="Arial Narrow"/>
          <w:sz w:val="20"/>
          <w:szCs w:val="20"/>
        </w:rPr>
        <w:t>. Численность персонала группы компаний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>» - 220 тыс. человек.</w:t>
      </w:r>
      <w:r>
        <w:rPr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t>Имущественный комплекс ПАО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firstLine="709"/>
        <w:jc w:val="both"/>
        <w:rPr>
          <w:iCs/>
        </w:rPr>
      </w:pPr>
    </w:p>
    <w:p>
      <w:pPr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Пресс-служба «</w:t>
      </w:r>
      <w:proofErr w:type="spellStart"/>
      <w:r>
        <w:rPr>
          <w:rFonts w:ascii="Arial Narrow" w:hAnsi="Arial Narrow"/>
          <w:b/>
          <w:iCs/>
        </w:rPr>
        <w:t>Россети</w:t>
      </w:r>
      <w:proofErr w:type="spellEnd"/>
      <w:r>
        <w:rPr>
          <w:rFonts w:ascii="Arial Narrow" w:hAnsi="Arial Narrow"/>
          <w:b/>
          <w:iCs/>
        </w:rPr>
        <w:t xml:space="preserve"> Центр и Приволжье Нижновэнерго»</w:t>
      </w:r>
      <w:r>
        <w:rPr>
          <w:rFonts w:ascii="Arial Narrow" w:hAnsi="Arial Narrow"/>
          <w:b/>
          <w:iCs/>
        </w:rPr>
        <w:tab/>
      </w:r>
      <w:r>
        <w:rPr>
          <w:rFonts w:ascii="Arial Narrow" w:hAnsi="Arial Narrow"/>
          <w:b/>
          <w:iCs/>
        </w:rPr>
        <w:tab/>
        <w:t>Смирнов Вячеслав</w:t>
      </w:r>
    </w:p>
    <w:p>
      <w:pPr>
        <w:ind w:left="5670" w:firstLine="1418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Тел., факс: (831) 431-85-38,</w:t>
      </w:r>
    </w:p>
    <w:p>
      <w:pPr>
        <w:ind w:left="5670" w:firstLine="1418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+7-909-285-61-54</w:t>
      </w:r>
    </w:p>
    <w:p>
      <w:pPr>
        <w:autoSpaceDE w:val="0"/>
        <w:autoSpaceDN w:val="0"/>
        <w:adjustRightInd w:val="0"/>
        <w:ind w:firstLine="1418"/>
        <w:jc w:val="both"/>
        <w:rPr>
          <w:iCs/>
        </w:rPr>
      </w:pPr>
      <w:r>
        <w:rPr>
          <w:rFonts w:ascii="Arial Narrow" w:hAnsi="Arial Narrow"/>
          <w:b/>
          <w:iCs/>
        </w:rPr>
        <w:t xml:space="preserve">                                                                                                       </w:t>
      </w:r>
      <w:r>
        <w:rPr>
          <w:rFonts w:ascii="Arial Narrow" w:hAnsi="Arial Narrow"/>
          <w:b/>
          <w:iCs/>
          <w:lang w:val="en-US"/>
        </w:rPr>
        <w:t>E</w:t>
      </w:r>
      <w:r>
        <w:rPr>
          <w:rFonts w:ascii="Arial Narrow" w:hAnsi="Arial Narrow"/>
          <w:b/>
          <w:iCs/>
        </w:rPr>
        <w:t>-</w:t>
      </w:r>
      <w:r>
        <w:rPr>
          <w:rFonts w:ascii="Arial Narrow" w:hAnsi="Arial Narrow"/>
          <w:b/>
          <w:iCs/>
          <w:lang w:val="en-US"/>
        </w:rPr>
        <w:t>mail</w:t>
      </w:r>
      <w:r>
        <w:rPr>
          <w:rFonts w:ascii="Arial Narrow" w:hAnsi="Arial Narrow"/>
          <w:b/>
          <w:iCs/>
        </w:rPr>
        <w:t xml:space="preserve">: </w:t>
      </w:r>
      <w:r>
        <w:rPr>
          <w:rStyle w:val="a3"/>
          <w:rFonts w:ascii="Arial Narrow" w:hAnsi="Arial Narrow"/>
          <w:b/>
          <w:iCs/>
          <w:lang w:val="en-US"/>
        </w:rPr>
        <w:t>Smirnov</w:t>
      </w:r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VVl</w:t>
      </w:r>
      <w:proofErr w:type="spellEnd"/>
      <w:r>
        <w:rPr>
          <w:rStyle w:val="a3"/>
          <w:rFonts w:ascii="Arial Narrow" w:hAnsi="Arial Narrow"/>
          <w:b/>
          <w:iCs/>
        </w:rPr>
        <w:t>@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nn</w:t>
      </w:r>
      <w:proofErr w:type="spellEnd"/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mrsk</w:t>
      </w:r>
      <w:proofErr w:type="spellEnd"/>
    </w:p>
    <w:p>
      <w:pPr>
        <w:autoSpaceDE w:val="0"/>
        <w:autoSpaceDN w:val="0"/>
        <w:adjustRightInd w:val="0"/>
        <w:ind w:left="5670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left="-142"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left="-142"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sectPr>
      <w:footerReference w:type="default" r:id="rId9"/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Контакт-центр «</w:t>
    </w:r>
    <w:proofErr w:type="spellStart"/>
    <w:r>
      <w:rPr>
        <w:rFonts w:ascii="Calibri" w:hAnsi="Calibri" w:cs="Calibri"/>
        <w:b/>
        <w:sz w:val="20"/>
        <w:szCs w:val="20"/>
      </w:rPr>
      <w:t>Россети</w:t>
    </w:r>
    <w:proofErr w:type="spellEnd"/>
    <w:r>
      <w:rPr>
        <w:rFonts w:ascii="Calibri" w:hAnsi="Calibri" w:cs="Calibri"/>
        <w:b/>
        <w:sz w:val="20"/>
        <w:szCs w:val="20"/>
      </w:rPr>
      <w:t xml:space="preserve"> Центр и Приволжье»: </w:t>
    </w:r>
  </w:p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100-33-00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mrsk</w:t>
    </w:r>
    <w:proofErr w:type="spellEnd"/>
    <w:r>
      <w:rPr>
        <w:rFonts w:ascii="Calibri" w:hAnsi="Calibri" w:cs="Calibri"/>
        <w:b/>
        <w:sz w:val="20"/>
        <w:szCs w:val="20"/>
      </w:rPr>
      <w:t>-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cp</w:t>
    </w:r>
    <w:proofErr w:type="spellEnd"/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CD"/>
    <w:multiLevelType w:val="hybridMultilevel"/>
    <w:tmpl w:val="76F05F60"/>
    <w:lvl w:ilvl="0" w:tplc="7340F5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1A5211E"/>
    <w:multiLevelType w:val="hybridMultilevel"/>
    <w:tmpl w:val="422E7554"/>
    <w:lvl w:ilvl="0" w:tplc="550C2BA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2A0F391A"/>
    <w:multiLevelType w:val="hybridMultilevel"/>
    <w:tmpl w:val="C938EA3C"/>
    <w:lvl w:ilvl="0" w:tplc="43DCBF9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453F496F"/>
    <w:multiLevelType w:val="hybridMultilevel"/>
    <w:tmpl w:val="E87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09C5"/>
    <w:multiLevelType w:val="hybridMultilevel"/>
    <w:tmpl w:val="599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13142"/>
    <w:multiLevelType w:val="hybridMultilevel"/>
    <w:tmpl w:val="8870A830"/>
    <w:lvl w:ilvl="0" w:tplc="12DCD3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6B67189A"/>
    <w:multiLevelType w:val="hybridMultilevel"/>
    <w:tmpl w:val="3F7CF804"/>
    <w:lvl w:ilvl="0" w:tplc="814A5594">
      <w:start w:val="1"/>
      <w:numFmt w:val="bullet"/>
      <w:lvlText w:val="-"/>
      <w:lvlJc w:val="left"/>
      <w:pPr>
        <w:ind w:left="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 w15:restartNumberingAfterBreak="0">
    <w:nsid w:val="6ECF4BD6"/>
    <w:multiLevelType w:val="hybridMultilevel"/>
    <w:tmpl w:val="88DA90DE"/>
    <w:lvl w:ilvl="0" w:tplc="8D92B7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7DBA1290"/>
    <w:multiLevelType w:val="hybridMultilevel"/>
    <w:tmpl w:val="5B3EB810"/>
    <w:lvl w:ilvl="0" w:tplc="C50A83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AF5BC8-4DF4-4D25-86E0-0B382584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26">
                  <w:marLeft w:val="19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FADE8-1929-4C06-9DB8-324A28EF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Люлина Елена Анатольевна</dc:creator>
  <cp:lastModifiedBy>Смирнов Вячеслав Владимирович</cp:lastModifiedBy>
  <cp:revision>8</cp:revision>
  <cp:lastPrinted>2017-08-14T06:21:00Z</cp:lastPrinted>
  <dcterms:created xsi:type="dcterms:W3CDTF">2019-08-21T11:48:00Z</dcterms:created>
  <dcterms:modified xsi:type="dcterms:W3CDTF">2019-08-30T05:05:00Z</dcterms:modified>
</cp:coreProperties>
</file>