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EB" w:rsidRDefault="00307F80" w:rsidP="00262CEB">
      <w:pPr>
        <w:pStyle w:val="Default"/>
        <w:ind w:firstLine="720"/>
        <w:jc w:val="center"/>
        <w:rPr>
          <w:b/>
          <w:sz w:val="28"/>
          <w:szCs w:val="28"/>
        </w:rPr>
      </w:pPr>
      <w:r w:rsidRPr="00262CEB">
        <w:rPr>
          <w:b/>
          <w:sz w:val="28"/>
          <w:szCs w:val="28"/>
        </w:rPr>
        <w:t>Отчет о результатах деятельности</w:t>
      </w:r>
    </w:p>
    <w:p w:rsidR="00C44134" w:rsidRDefault="00307F80" w:rsidP="00262CEB">
      <w:pPr>
        <w:pStyle w:val="Default"/>
        <w:ind w:firstLine="720"/>
        <w:jc w:val="center"/>
        <w:rPr>
          <w:b/>
          <w:sz w:val="28"/>
          <w:szCs w:val="28"/>
        </w:rPr>
      </w:pPr>
      <w:r w:rsidRPr="00262CEB">
        <w:rPr>
          <w:b/>
          <w:sz w:val="28"/>
          <w:szCs w:val="28"/>
        </w:rPr>
        <w:t xml:space="preserve"> (пояснительная записка)</w:t>
      </w:r>
      <w:r w:rsidR="00915CE8" w:rsidRPr="00262CEB">
        <w:rPr>
          <w:b/>
          <w:sz w:val="28"/>
          <w:szCs w:val="28"/>
        </w:rPr>
        <w:t xml:space="preserve"> за 2021г.</w:t>
      </w:r>
    </w:p>
    <w:p w:rsidR="00262CEB" w:rsidRPr="00262CEB" w:rsidRDefault="00262CEB">
      <w:pPr>
        <w:pStyle w:val="Default"/>
        <w:ind w:firstLine="720"/>
        <w:jc w:val="both"/>
        <w:rPr>
          <w:sz w:val="28"/>
          <w:szCs w:val="28"/>
        </w:rPr>
      </w:pPr>
    </w:p>
    <w:p w:rsidR="00C44134" w:rsidRDefault="00915CE8">
      <w:pPr>
        <w:pStyle w:val="Default"/>
        <w:ind w:firstLine="720"/>
        <w:jc w:val="both"/>
        <w:rPr>
          <w:sz w:val="28"/>
          <w:szCs w:val="28"/>
        </w:rPr>
      </w:pPr>
      <w:r>
        <w:rPr>
          <w:b/>
          <w:sz w:val="28"/>
          <w:szCs w:val="28"/>
        </w:rPr>
        <w:t>1.«Организационная структура учреждения».</w:t>
      </w:r>
      <w:r>
        <w:rPr>
          <w:rFonts w:eastAsia="Times New Roman"/>
          <w:color w:val="00000A"/>
          <w:sz w:val="28"/>
          <w:szCs w:val="28"/>
          <w:lang w:eastAsia="ru-RU"/>
        </w:rPr>
        <w:t xml:space="preserve"> Управление развития территорий администрации </w:t>
      </w:r>
      <w:r>
        <w:rPr>
          <w:sz w:val="28"/>
        </w:rPr>
        <w:t>Починковского муниципального округа</w:t>
      </w:r>
      <w:r>
        <w:rPr>
          <w:rFonts w:eastAsia="Times New Roman"/>
          <w:color w:val="00000A"/>
          <w:sz w:val="28"/>
          <w:szCs w:val="28"/>
          <w:lang w:eastAsia="ru-RU"/>
        </w:rPr>
        <w:t xml:space="preserve"> Нижегородской области является структурным подразделением администрации </w:t>
      </w:r>
      <w:r>
        <w:rPr>
          <w:sz w:val="28"/>
        </w:rPr>
        <w:t>Починковского муниципального округа</w:t>
      </w:r>
      <w:r>
        <w:rPr>
          <w:rFonts w:eastAsia="Times New Roman"/>
          <w:color w:val="00000A"/>
          <w:sz w:val="28"/>
          <w:szCs w:val="28"/>
          <w:lang w:eastAsia="ru-RU"/>
        </w:rPr>
        <w:t xml:space="preserve"> Нижегородской области, создано в соответствии со структурой администрации для реализации отдельных управленческих и иных полномочий администрации на территории следующих населенных пунктов </w:t>
      </w:r>
      <w:r>
        <w:rPr>
          <w:sz w:val="28"/>
        </w:rPr>
        <w:t>Починковского муниципального округа</w:t>
      </w:r>
      <w:r w:rsidR="000877F6">
        <w:rPr>
          <w:sz w:val="28"/>
        </w:rPr>
        <w:t xml:space="preserve"> </w:t>
      </w:r>
      <w:r>
        <w:rPr>
          <w:rFonts w:eastAsia="Times New Roman"/>
          <w:color w:val="00000A"/>
          <w:sz w:val="28"/>
          <w:szCs w:val="28"/>
          <w:lang w:eastAsia="ru-RU"/>
        </w:rPr>
        <w:t xml:space="preserve">Нижегородской области </w:t>
      </w:r>
      <w:r>
        <w:rPr>
          <w:sz w:val="28"/>
          <w:szCs w:val="28"/>
        </w:rPr>
        <w:t>: сельский поселок Арзинка, сельский поселок Борисовский, село Василев Майдан, сельский поселок Емельяновский, сельский поселок Лобан, сельский поселок Широковский, село Василевка, село Никитино, село Шагаево, село Шишадеево, село Кочкурово, сельский поселок Новониколаевский, село Пеля-Казенная, село Саитовка, село Дивеев Усад, село Маресево, деревня Наталинка, деревня Рудня, сельский поселок Старина, сельский поселок Ясная Поляна, село Азрапино, деревня Алексеевка, деревня Виноградовка, деревня Воздвиженка, сельский поселок Кобыленка, сельский поселок Коммунар, село Константиновка, село Криуша, село Наруксово, село Новомихайловка, село Новониколаевка, деревня Новотроицкое, деревня Романовка, деревня Садовка, село Учуево-Майдан, село Акаево, деревня Анютино, деревня Взовка, село Вьюшкино, село Журавлиха, село Ивашевка, деревня Каменка, село Любимово, сельский поселок Новоалексеевский, село Панкратово, село Пеля-Хованская, село Симбухово, сельский поселок Ягодный, село Дуброво, деревня Зеленая Роща, деревня Кармалей, село Новоспасское, сельский поселок Осинки, сельский поселок Пенькозавода, село Починки, село Тагаево, сельский поселок Каменка, сельский поселок Круглый, сельский поселок Ленгуши, село Мадаево, село Малая Пуза, сельский поселок Масалки, село Новая Березовка, село Новое Урюпино, село Пахотный Усад, село Пузская Слобода, село Ризоватово, село Роганиха, село Суворовка, село Сырятино, село Байково, сельский поселок Журавлиха, село Ильинское, сельский поселок Муравей, сельский поселок Осиновка, сельский поселок Сырятинский, сельский поселок Ужовка, село Ужово.</w:t>
      </w:r>
    </w:p>
    <w:p w:rsidR="00C44134" w:rsidRDefault="00915CE8">
      <w:pPr>
        <w:pStyle w:val="Default"/>
        <w:jc w:val="both"/>
        <w:rPr>
          <w:sz w:val="28"/>
          <w:szCs w:val="28"/>
        </w:rPr>
      </w:pPr>
      <w:r>
        <w:rPr>
          <w:sz w:val="28"/>
          <w:szCs w:val="28"/>
        </w:rPr>
        <w:t>Юридический адрес: 607910 Нижегородская область, Починковский район, с.Починки , ул.Ленина д.1.</w:t>
      </w:r>
    </w:p>
    <w:p w:rsidR="00C44134" w:rsidRDefault="00915CE8">
      <w:pPr>
        <w:pStyle w:val="Default"/>
        <w:jc w:val="both"/>
        <w:rPr>
          <w:sz w:val="28"/>
          <w:szCs w:val="28"/>
        </w:rPr>
      </w:pPr>
      <w:r>
        <w:rPr>
          <w:b/>
          <w:sz w:val="28"/>
          <w:szCs w:val="28"/>
        </w:rPr>
        <w:t>2. «Результаты деятельности учреждения».</w:t>
      </w:r>
    </w:p>
    <w:p w:rsidR="00C44134" w:rsidRDefault="00915CE8">
      <w:pPr>
        <w:pStyle w:val="Default"/>
        <w:jc w:val="both"/>
      </w:pPr>
      <w:bookmarkStart w:id="0" w:name="_GoBack"/>
      <w:bookmarkEnd w:id="0"/>
      <w:r>
        <w:rPr>
          <w:sz w:val="28"/>
          <w:szCs w:val="28"/>
        </w:rPr>
        <w:t xml:space="preserve">Управление развития территорий является исполнительным органом местного самоуправления округа, на него возложены функции управления и обеспечения жизнедеятельности отделов по развитию территорий. На управление возложены функции решений вопросов местного значения, одним из вопросов является исполнение бюджета управления развития территорий. Первоначально бюджет составил 45 127 653,11 в течении года производилось увеличение расходной части до 86 934 021,61 руб. </w:t>
      </w:r>
    </w:p>
    <w:p w:rsidR="00C44134" w:rsidRDefault="00915CE8">
      <w:pPr>
        <w:pStyle w:val="Default"/>
        <w:jc w:val="both"/>
        <w:rPr>
          <w:b/>
          <w:sz w:val="28"/>
          <w:szCs w:val="28"/>
        </w:rPr>
      </w:pPr>
      <w:r>
        <w:rPr>
          <w:b/>
          <w:sz w:val="28"/>
          <w:szCs w:val="28"/>
        </w:rPr>
        <w:t>3. «Анализ отчета об исполнении учреждением плана его деятельности».</w:t>
      </w:r>
    </w:p>
    <w:p w:rsidR="00C44134" w:rsidRDefault="00915CE8">
      <w:pPr>
        <w:pStyle w:val="Default"/>
        <w:jc w:val="both"/>
        <w:rPr>
          <w:sz w:val="28"/>
          <w:szCs w:val="28"/>
        </w:rPr>
      </w:pPr>
      <w:r>
        <w:rPr>
          <w:sz w:val="28"/>
          <w:szCs w:val="28"/>
        </w:rPr>
        <w:lastRenderedPageBreak/>
        <w:t>Управление является администратором поступлений следующих доходов:</w:t>
      </w:r>
    </w:p>
    <w:tbl>
      <w:tblPr>
        <w:tblStyle w:val="a8"/>
        <w:tblW w:w="9571" w:type="dxa"/>
        <w:tblLook w:val="04A0"/>
      </w:tblPr>
      <w:tblGrid>
        <w:gridCol w:w="3190"/>
        <w:gridCol w:w="3190"/>
        <w:gridCol w:w="3191"/>
      </w:tblGrid>
      <w:tr w:rsidR="00C44134">
        <w:tc>
          <w:tcPr>
            <w:tcW w:w="3190" w:type="dxa"/>
            <w:shd w:val="clear" w:color="auto" w:fill="auto"/>
          </w:tcPr>
          <w:p w:rsidR="00C44134" w:rsidRDefault="00915CE8">
            <w:pPr>
              <w:pStyle w:val="Default"/>
              <w:jc w:val="both"/>
              <w:rPr>
                <w:sz w:val="28"/>
                <w:szCs w:val="28"/>
              </w:rPr>
            </w:pPr>
            <w:r>
              <w:rPr>
                <w:sz w:val="28"/>
                <w:szCs w:val="28"/>
              </w:rPr>
              <w:t>Наименование дохода</w:t>
            </w:r>
          </w:p>
        </w:tc>
        <w:tc>
          <w:tcPr>
            <w:tcW w:w="3190" w:type="dxa"/>
            <w:shd w:val="clear" w:color="auto" w:fill="auto"/>
          </w:tcPr>
          <w:p w:rsidR="00C44134" w:rsidRDefault="00915CE8">
            <w:pPr>
              <w:pStyle w:val="Default"/>
              <w:jc w:val="both"/>
              <w:rPr>
                <w:sz w:val="28"/>
                <w:szCs w:val="28"/>
              </w:rPr>
            </w:pPr>
            <w:r>
              <w:rPr>
                <w:sz w:val="28"/>
                <w:szCs w:val="28"/>
              </w:rPr>
              <w:t>План поступлений</w:t>
            </w:r>
          </w:p>
        </w:tc>
        <w:tc>
          <w:tcPr>
            <w:tcW w:w="3191" w:type="dxa"/>
            <w:shd w:val="clear" w:color="auto" w:fill="auto"/>
          </w:tcPr>
          <w:p w:rsidR="00C44134" w:rsidRDefault="00915CE8">
            <w:pPr>
              <w:pStyle w:val="Default"/>
              <w:jc w:val="both"/>
              <w:rPr>
                <w:sz w:val="28"/>
                <w:szCs w:val="28"/>
              </w:rPr>
            </w:pPr>
            <w:r>
              <w:rPr>
                <w:sz w:val="28"/>
                <w:szCs w:val="28"/>
              </w:rPr>
              <w:t>Факт поступлений</w:t>
            </w:r>
          </w:p>
        </w:tc>
      </w:tr>
      <w:tr w:rsidR="00C44134">
        <w:tc>
          <w:tcPr>
            <w:tcW w:w="3190" w:type="dxa"/>
            <w:shd w:val="clear" w:color="auto" w:fill="auto"/>
          </w:tcPr>
          <w:p w:rsidR="00C44134" w:rsidRDefault="00915CE8">
            <w:pPr>
              <w:pStyle w:val="Default"/>
              <w:jc w:val="both"/>
              <w:rPr>
                <w:sz w:val="16"/>
                <w:szCs w:val="16"/>
              </w:rPr>
            </w:pPr>
            <w:r>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
        </w:tc>
        <w:tc>
          <w:tcPr>
            <w:tcW w:w="3190" w:type="dxa"/>
            <w:shd w:val="clear" w:color="auto" w:fill="auto"/>
          </w:tcPr>
          <w:p w:rsidR="00C44134" w:rsidRDefault="00915CE8">
            <w:pPr>
              <w:pStyle w:val="Default"/>
              <w:jc w:val="both"/>
              <w:rPr>
                <w:sz w:val="28"/>
                <w:szCs w:val="28"/>
              </w:rPr>
            </w:pPr>
            <w:r>
              <w:rPr>
                <w:sz w:val="28"/>
                <w:szCs w:val="28"/>
              </w:rPr>
              <w:t>0</w:t>
            </w:r>
          </w:p>
        </w:tc>
        <w:tc>
          <w:tcPr>
            <w:tcW w:w="3191" w:type="dxa"/>
            <w:shd w:val="clear" w:color="auto" w:fill="auto"/>
          </w:tcPr>
          <w:p w:rsidR="00C44134" w:rsidRDefault="00915CE8">
            <w:pPr>
              <w:pStyle w:val="Default"/>
              <w:jc w:val="both"/>
              <w:rPr>
                <w:sz w:val="28"/>
                <w:szCs w:val="28"/>
              </w:rPr>
            </w:pPr>
            <w:r>
              <w:rPr>
                <w:sz w:val="28"/>
                <w:szCs w:val="28"/>
              </w:rPr>
              <w:t>11 900,00</w:t>
            </w:r>
          </w:p>
        </w:tc>
      </w:tr>
      <w:tr w:rsidR="00C44134">
        <w:tc>
          <w:tcPr>
            <w:tcW w:w="3190" w:type="dxa"/>
            <w:shd w:val="clear" w:color="auto" w:fill="auto"/>
          </w:tcPr>
          <w:p w:rsidR="00C44134" w:rsidRDefault="00915CE8">
            <w:pPr>
              <w:pStyle w:val="Default"/>
              <w:tabs>
                <w:tab w:val="left" w:pos="2266"/>
              </w:tabs>
              <w:jc w:val="both"/>
              <w:rPr>
                <w:sz w:val="16"/>
                <w:szCs w:val="16"/>
              </w:rPr>
            </w:pPr>
            <w:r>
              <w:rPr>
                <w:sz w:val="16"/>
                <w:szCs w:val="16"/>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3190" w:type="dxa"/>
            <w:shd w:val="clear" w:color="auto" w:fill="auto"/>
          </w:tcPr>
          <w:p w:rsidR="00C44134" w:rsidRDefault="00915CE8">
            <w:pPr>
              <w:pStyle w:val="Default"/>
              <w:jc w:val="both"/>
              <w:rPr>
                <w:sz w:val="28"/>
                <w:szCs w:val="28"/>
              </w:rPr>
            </w:pPr>
            <w:r>
              <w:rPr>
                <w:sz w:val="28"/>
                <w:szCs w:val="28"/>
              </w:rPr>
              <w:t>0</w:t>
            </w:r>
          </w:p>
        </w:tc>
        <w:tc>
          <w:tcPr>
            <w:tcW w:w="3191" w:type="dxa"/>
            <w:shd w:val="clear" w:color="auto" w:fill="auto"/>
          </w:tcPr>
          <w:p w:rsidR="00C44134" w:rsidRDefault="00915CE8">
            <w:pPr>
              <w:pStyle w:val="Default"/>
              <w:jc w:val="both"/>
              <w:rPr>
                <w:sz w:val="28"/>
                <w:szCs w:val="28"/>
              </w:rPr>
            </w:pPr>
            <w:r>
              <w:rPr>
                <w:sz w:val="28"/>
                <w:szCs w:val="28"/>
              </w:rPr>
              <w:t>70 022,85</w:t>
            </w:r>
          </w:p>
        </w:tc>
      </w:tr>
      <w:tr w:rsidR="00C44134">
        <w:tc>
          <w:tcPr>
            <w:tcW w:w="3190" w:type="dxa"/>
            <w:shd w:val="clear" w:color="auto" w:fill="auto"/>
          </w:tcPr>
          <w:p w:rsidR="00C44134" w:rsidRDefault="00915CE8">
            <w:pPr>
              <w:pStyle w:val="Default"/>
              <w:jc w:val="both"/>
              <w:rPr>
                <w:sz w:val="16"/>
                <w:szCs w:val="16"/>
              </w:rPr>
            </w:pPr>
            <w:r>
              <w:rPr>
                <w:sz w:val="16"/>
                <w:szCs w:val="16"/>
              </w:rPr>
              <w:t>Инициативные платежи, зачисляемые в боджеты муниципальных округов</w:t>
            </w:r>
          </w:p>
        </w:tc>
        <w:tc>
          <w:tcPr>
            <w:tcW w:w="3190" w:type="dxa"/>
            <w:shd w:val="clear" w:color="auto" w:fill="auto"/>
          </w:tcPr>
          <w:p w:rsidR="00C44134" w:rsidRDefault="00915CE8">
            <w:pPr>
              <w:pStyle w:val="Default"/>
              <w:jc w:val="both"/>
              <w:rPr>
                <w:sz w:val="28"/>
                <w:szCs w:val="28"/>
              </w:rPr>
            </w:pPr>
            <w:r>
              <w:rPr>
                <w:sz w:val="28"/>
                <w:szCs w:val="28"/>
              </w:rPr>
              <w:t>316 571,50</w:t>
            </w:r>
          </w:p>
        </w:tc>
        <w:tc>
          <w:tcPr>
            <w:tcW w:w="3191" w:type="dxa"/>
            <w:shd w:val="clear" w:color="auto" w:fill="auto"/>
          </w:tcPr>
          <w:p w:rsidR="00C44134" w:rsidRDefault="00915CE8">
            <w:pPr>
              <w:pStyle w:val="Default"/>
              <w:jc w:val="both"/>
              <w:rPr>
                <w:sz w:val="28"/>
                <w:szCs w:val="28"/>
              </w:rPr>
            </w:pPr>
            <w:r>
              <w:rPr>
                <w:sz w:val="28"/>
                <w:szCs w:val="28"/>
              </w:rPr>
              <w:t>294 420,83</w:t>
            </w:r>
          </w:p>
        </w:tc>
      </w:tr>
      <w:tr w:rsidR="00C44134">
        <w:tc>
          <w:tcPr>
            <w:tcW w:w="3190" w:type="dxa"/>
            <w:shd w:val="clear" w:color="auto" w:fill="auto"/>
          </w:tcPr>
          <w:p w:rsidR="00C44134" w:rsidRDefault="00915CE8">
            <w:pPr>
              <w:pStyle w:val="Default"/>
              <w:jc w:val="both"/>
              <w:rPr>
                <w:sz w:val="16"/>
                <w:szCs w:val="16"/>
              </w:rPr>
            </w:pPr>
            <w:r>
              <w:rPr>
                <w:sz w:val="16"/>
                <w:szCs w:val="16"/>
              </w:rPr>
              <w:t>Прочие субсидии бюджетам муниципальных округов</w:t>
            </w:r>
          </w:p>
        </w:tc>
        <w:tc>
          <w:tcPr>
            <w:tcW w:w="3190" w:type="dxa"/>
            <w:shd w:val="clear" w:color="auto" w:fill="auto"/>
          </w:tcPr>
          <w:p w:rsidR="00C44134" w:rsidRDefault="00915CE8">
            <w:pPr>
              <w:pStyle w:val="Default"/>
              <w:jc w:val="both"/>
              <w:rPr>
                <w:sz w:val="28"/>
                <w:szCs w:val="28"/>
              </w:rPr>
            </w:pPr>
            <w:r>
              <w:rPr>
                <w:sz w:val="28"/>
                <w:szCs w:val="28"/>
              </w:rPr>
              <w:t>21 097 731,57</w:t>
            </w:r>
          </w:p>
        </w:tc>
        <w:tc>
          <w:tcPr>
            <w:tcW w:w="3191" w:type="dxa"/>
            <w:shd w:val="clear" w:color="auto" w:fill="auto"/>
          </w:tcPr>
          <w:p w:rsidR="00C44134" w:rsidRDefault="00915CE8">
            <w:pPr>
              <w:pStyle w:val="Default"/>
              <w:jc w:val="both"/>
              <w:rPr>
                <w:sz w:val="28"/>
                <w:szCs w:val="28"/>
              </w:rPr>
            </w:pPr>
            <w:r>
              <w:rPr>
                <w:sz w:val="28"/>
                <w:szCs w:val="28"/>
              </w:rPr>
              <w:t>19 029 661,25</w:t>
            </w:r>
          </w:p>
        </w:tc>
      </w:tr>
      <w:tr w:rsidR="00C44134">
        <w:tc>
          <w:tcPr>
            <w:tcW w:w="3190" w:type="dxa"/>
            <w:shd w:val="clear" w:color="auto" w:fill="auto"/>
          </w:tcPr>
          <w:p w:rsidR="00C44134" w:rsidRDefault="00915CE8">
            <w:pPr>
              <w:pStyle w:val="Default"/>
              <w:jc w:val="both"/>
              <w:rPr>
                <w:sz w:val="16"/>
                <w:szCs w:val="16"/>
              </w:rPr>
            </w:pPr>
            <w:r>
              <w:rPr>
                <w:sz w:val="16"/>
                <w:szCs w:val="16"/>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3190" w:type="dxa"/>
            <w:shd w:val="clear" w:color="auto" w:fill="auto"/>
          </w:tcPr>
          <w:p w:rsidR="00C44134" w:rsidRDefault="00915CE8">
            <w:pPr>
              <w:pStyle w:val="Default"/>
              <w:jc w:val="both"/>
              <w:rPr>
                <w:sz w:val="28"/>
                <w:szCs w:val="28"/>
              </w:rPr>
            </w:pPr>
            <w:r>
              <w:rPr>
                <w:sz w:val="28"/>
                <w:szCs w:val="28"/>
              </w:rPr>
              <w:t>1 173 400,00</w:t>
            </w:r>
          </w:p>
        </w:tc>
        <w:tc>
          <w:tcPr>
            <w:tcW w:w="3191" w:type="dxa"/>
            <w:shd w:val="clear" w:color="auto" w:fill="auto"/>
          </w:tcPr>
          <w:p w:rsidR="00C44134" w:rsidRDefault="00915CE8">
            <w:pPr>
              <w:pStyle w:val="Default"/>
              <w:jc w:val="both"/>
              <w:rPr>
                <w:sz w:val="28"/>
                <w:szCs w:val="28"/>
              </w:rPr>
            </w:pPr>
            <w:r>
              <w:rPr>
                <w:sz w:val="28"/>
                <w:szCs w:val="28"/>
              </w:rPr>
              <w:t>1 173 400,00</w:t>
            </w:r>
          </w:p>
        </w:tc>
      </w:tr>
      <w:tr w:rsidR="00C44134">
        <w:tc>
          <w:tcPr>
            <w:tcW w:w="3190" w:type="dxa"/>
            <w:shd w:val="clear" w:color="auto" w:fill="auto"/>
          </w:tcPr>
          <w:p w:rsidR="00C44134" w:rsidRDefault="00915CE8">
            <w:pPr>
              <w:pStyle w:val="Default"/>
              <w:jc w:val="both"/>
              <w:rPr>
                <w:sz w:val="16"/>
                <w:szCs w:val="16"/>
              </w:rPr>
            </w:pPr>
            <w:r>
              <w:rPr>
                <w:sz w:val="16"/>
                <w:szCs w:val="16"/>
              </w:rPr>
              <w:t>Межбюджетные трансферты, передаваемые бюджетам муниципальных округов для компенсации доп.расходов, возникших в результате решений, принятыми органами власти другого уровня</w:t>
            </w:r>
          </w:p>
        </w:tc>
        <w:tc>
          <w:tcPr>
            <w:tcW w:w="3190" w:type="dxa"/>
            <w:shd w:val="clear" w:color="auto" w:fill="auto"/>
          </w:tcPr>
          <w:p w:rsidR="00C44134" w:rsidRDefault="00915CE8">
            <w:pPr>
              <w:pStyle w:val="Default"/>
              <w:jc w:val="both"/>
            </w:pPr>
            <w:r>
              <w:rPr>
                <w:sz w:val="28"/>
                <w:szCs w:val="28"/>
              </w:rPr>
              <w:t>103 228,00</w:t>
            </w:r>
          </w:p>
        </w:tc>
        <w:tc>
          <w:tcPr>
            <w:tcW w:w="3191" w:type="dxa"/>
            <w:shd w:val="clear" w:color="auto" w:fill="auto"/>
          </w:tcPr>
          <w:p w:rsidR="00C44134" w:rsidRDefault="00915CE8">
            <w:pPr>
              <w:pStyle w:val="Default"/>
              <w:jc w:val="both"/>
              <w:rPr>
                <w:sz w:val="28"/>
                <w:szCs w:val="28"/>
              </w:rPr>
            </w:pPr>
            <w:r>
              <w:rPr>
                <w:sz w:val="28"/>
                <w:szCs w:val="28"/>
              </w:rPr>
              <w:t>103 228,00</w:t>
            </w:r>
          </w:p>
        </w:tc>
      </w:tr>
      <w:tr w:rsidR="00C44134">
        <w:tc>
          <w:tcPr>
            <w:tcW w:w="3190" w:type="dxa"/>
            <w:shd w:val="clear" w:color="auto" w:fill="auto"/>
          </w:tcPr>
          <w:p w:rsidR="00C44134" w:rsidRDefault="00915CE8">
            <w:pPr>
              <w:pStyle w:val="Default"/>
              <w:jc w:val="both"/>
              <w:rPr>
                <w:sz w:val="28"/>
                <w:szCs w:val="28"/>
              </w:rPr>
            </w:pPr>
            <w:r>
              <w:rPr>
                <w:sz w:val="28"/>
                <w:szCs w:val="28"/>
              </w:rPr>
              <w:t>итого</w:t>
            </w:r>
          </w:p>
        </w:tc>
        <w:tc>
          <w:tcPr>
            <w:tcW w:w="3190" w:type="dxa"/>
            <w:shd w:val="clear" w:color="auto" w:fill="auto"/>
          </w:tcPr>
          <w:p w:rsidR="00C44134" w:rsidRDefault="00915CE8">
            <w:pPr>
              <w:pStyle w:val="Default"/>
              <w:jc w:val="both"/>
            </w:pPr>
            <w:r>
              <w:rPr>
                <w:sz w:val="28"/>
                <w:szCs w:val="28"/>
              </w:rPr>
              <w:t>22 690 931,07</w:t>
            </w:r>
          </w:p>
        </w:tc>
        <w:tc>
          <w:tcPr>
            <w:tcW w:w="3191" w:type="dxa"/>
            <w:shd w:val="clear" w:color="auto" w:fill="auto"/>
          </w:tcPr>
          <w:p w:rsidR="00C44134" w:rsidRDefault="00915CE8">
            <w:pPr>
              <w:pStyle w:val="Default"/>
              <w:jc w:val="both"/>
              <w:rPr>
                <w:sz w:val="28"/>
                <w:szCs w:val="28"/>
              </w:rPr>
            </w:pPr>
            <w:r>
              <w:rPr>
                <w:sz w:val="28"/>
                <w:szCs w:val="28"/>
              </w:rPr>
              <w:t>20 682 632,93</w:t>
            </w:r>
          </w:p>
        </w:tc>
      </w:tr>
    </w:tbl>
    <w:p w:rsidR="00C44134" w:rsidRDefault="00C44134">
      <w:pPr>
        <w:pStyle w:val="Default"/>
        <w:jc w:val="both"/>
        <w:rPr>
          <w:sz w:val="28"/>
          <w:szCs w:val="28"/>
        </w:rPr>
      </w:pPr>
    </w:p>
    <w:p w:rsidR="00C44134" w:rsidRDefault="00915CE8">
      <w:pPr>
        <w:pStyle w:val="Default"/>
        <w:jc w:val="both"/>
        <w:rPr>
          <w:sz w:val="28"/>
          <w:szCs w:val="28"/>
        </w:rPr>
      </w:pPr>
      <w:r>
        <w:rPr>
          <w:sz w:val="28"/>
          <w:szCs w:val="28"/>
        </w:rPr>
        <w:t>Причиной неисполнения плана дохода по инициативным платежам и перечислениям из областного бюджета, является проведение электронных торгов по проектам «Вам решать». Средства поступили по итогу цены контрактов.</w:t>
      </w:r>
    </w:p>
    <w:p w:rsidR="00C44134" w:rsidRDefault="00C44134">
      <w:pPr>
        <w:pStyle w:val="Default"/>
        <w:jc w:val="both"/>
        <w:rPr>
          <w:sz w:val="28"/>
          <w:szCs w:val="28"/>
        </w:rPr>
      </w:pPr>
    </w:p>
    <w:p w:rsidR="00C44134" w:rsidRDefault="00915CE8">
      <w:pPr>
        <w:pStyle w:val="Default"/>
        <w:jc w:val="both"/>
        <w:rPr>
          <w:sz w:val="28"/>
          <w:szCs w:val="28"/>
        </w:rPr>
      </w:pPr>
      <w:r>
        <w:rPr>
          <w:sz w:val="28"/>
          <w:szCs w:val="28"/>
        </w:rPr>
        <w:t>Исполнение расходов составило 91,92%. План 86 934 021,86 факт 78 906 918,66.</w:t>
      </w:r>
    </w:p>
    <w:p w:rsidR="00C44134" w:rsidRDefault="00915CE8">
      <w:pPr>
        <w:pStyle w:val="Default"/>
        <w:jc w:val="both"/>
      </w:pPr>
      <w:r>
        <w:rPr>
          <w:sz w:val="28"/>
          <w:szCs w:val="28"/>
        </w:rPr>
        <w:t>Средства дорожного фонда использованы на 80,05%. Поступило за 2021г 18 038 603,47 + остаток прошлых лет 3 880 508,01 израсходовано 14 981 413,14</w:t>
      </w:r>
    </w:p>
    <w:p w:rsidR="00C44134" w:rsidRDefault="00915CE8">
      <w:pPr>
        <w:pStyle w:val="Default"/>
        <w:jc w:val="both"/>
        <w:rPr>
          <w:sz w:val="28"/>
          <w:szCs w:val="28"/>
        </w:rPr>
      </w:pPr>
      <w:r>
        <w:rPr>
          <w:sz w:val="28"/>
          <w:szCs w:val="28"/>
        </w:rPr>
        <w:t>В течении года были построены и отремонтированы следующие объекты: строительство дороги ул.Елисеева с.Починки-1440м</w:t>
      </w:r>
      <w:r>
        <w:rPr>
          <w:sz w:val="28"/>
          <w:szCs w:val="28"/>
          <w:vertAlign w:val="superscript"/>
        </w:rPr>
        <w:t>2</w:t>
      </w:r>
      <w:r>
        <w:rPr>
          <w:sz w:val="28"/>
          <w:szCs w:val="28"/>
        </w:rPr>
        <w:t xml:space="preserve"> стоимостью 1661 610,89</w:t>
      </w:r>
    </w:p>
    <w:p w:rsidR="00C44134" w:rsidRDefault="00915CE8">
      <w:pPr>
        <w:pStyle w:val="Default"/>
        <w:jc w:val="both"/>
        <w:rPr>
          <w:sz w:val="28"/>
          <w:szCs w:val="28"/>
        </w:rPr>
      </w:pPr>
      <w:r>
        <w:rPr>
          <w:sz w:val="28"/>
          <w:szCs w:val="28"/>
        </w:rPr>
        <w:t>Отремонтирована дорога с.Василевка ул.Зеленый дол  стоим. 462 013,00</w:t>
      </w:r>
    </w:p>
    <w:p w:rsidR="00C44134" w:rsidRDefault="00915CE8">
      <w:pPr>
        <w:jc w:val="both"/>
      </w:pPr>
      <w:r>
        <w:rPr>
          <w:sz w:val="28"/>
          <w:szCs w:val="28"/>
        </w:rPr>
        <w:t>Произведен ямочный ремонт дорог в с.Починки, обочина дороги ул.Весенняя 1590 м</w:t>
      </w:r>
      <w:r>
        <w:rPr>
          <w:sz w:val="28"/>
          <w:szCs w:val="28"/>
          <w:vertAlign w:val="superscript"/>
        </w:rPr>
        <w:t xml:space="preserve">2 </w:t>
      </w:r>
      <w:r>
        <w:rPr>
          <w:sz w:val="28"/>
          <w:szCs w:val="28"/>
        </w:rPr>
        <w:t xml:space="preserve">стоимостью 1 182 227,00. Средства дорожного фонда участвовали в софинансировании программы инициативного бюджетирования «Вам решать» в размере 5 183 163,73, в  субсидии на реализацию социально-значимых мероприятий в рамках решения вопросов местного значения в размере 167 277,11 на ремонт дорог местного значения на территории округа. На содержание дорог местного значения в летний и зимний периоды потрачено 3 408 918,21.  Приобретали щебень для подсыпки обочин и заделывания ям на дорогах на сумму 1 227 575,10. Произвели оплату за </w:t>
      </w:r>
      <w:r>
        <w:rPr>
          <w:sz w:val="28"/>
          <w:szCs w:val="28"/>
        </w:rPr>
        <w:lastRenderedPageBreak/>
        <w:t xml:space="preserve">госэкспертизу сметной документации и паспортизацию улично-дорожной сети 342 376,00. Были приобретены дорожные знаки в количестве 6 шт. на сумму 30 180,00. Неиспользованный остаток дорожного фонда на 01.01.22 составил </w:t>
      </w:r>
      <w:r>
        <w:rPr>
          <w:color w:val="000000"/>
          <w:sz w:val="28"/>
          <w:szCs w:val="28"/>
        </w:rPr>
        <w:t>6 937 698,34.</w:t>
      </w:r>
    </w:p>
    <w:p w:rsidR="00C44134" w:rsidRDefault="00915CE8">
      <w:pPr>
        <w:jc w:val="both"/>
        <w:rPr>
          <w:sz w:val="28"/>
          <w:szCs w:val="28"/>
        </w:rPr>
      </w:pPr>
      <w:r>
        <w:rPr>
          <w:sz w:val="28"/>
          <w:szCs w:val="28"/>
        </w:rPr>
        <w:t>Также в состав дорожного вошли областные средства на ремонт дорог по программе «Вам решать» -11 691 794,67.</w:t>
      </w:r>
    </w:p>
    <w:p w:rsidR="00C44134" w:rsidRDefault="00915CE8">
      <w:pPr>
        <w:jc w:val="both"/>
        <w:rPr>
          <w:sz w:val="28"/>
          <w:szCs w:val="28"/>
        </w:rPr>
      </w:pPr>
      <w:r>
        <w:rPr>
          <w:sz w:val="28"/>
          <w:szCs w:val="28"/>
        </w:rPr>
        <w:t>Инициативные платежи по программе «Вам решать»- 18 322,24.</w:t>
      </w:r>
    </w:p>
    <w:p w:rsidR="00C44134" w:rsidRDefault="00915CE8">
      <w:pPr>
        <w:jc w:val="both"/>
      </w:pPr>
      <w:r>
        <w:rPr>
          <w:sz w:val="28"/>
          <w:szCs w:val="28"/>
        </w:rPr>
        <w:t>Субсидия на реализацию социально-значимых мероприятий в рамках решения вопросов местного значения из областного бюджета в размере 669 108,44.</w:t>
      </w:r>
    </w:p>
    <w:p w:rsidR="00C44134" w:rsidRDefault="00915CE8">
      <w:pPr>
        <w:jc w:val="both"/>
      </w:pPr>
      <w:r>
        <w:rPr>
          <w:sz w:val="28"/>
          <w:szCs w:val="28"/>
        </w:rPr>
        <w:t>по разделу 0409 в составе софинансирования были отремонтированы следующие дороги:</w:t>
      </w:r>
    </w:p>
    <w:p w:rsidR="00C44134" w:rsidRDefault="00915CE8">
      <w:pPr>
        <w:jc w:val="both"/>
        <w:rPr>
          <w:sz w:val="28"/>
          <w:szCs w:val="28"/>
        </w:rPr>
      </w:pPr>
      <w:r>
        <w:rPr>
          <w:sz w:val="28"/>
          <w:szCs w:val="28"/>
        </w:rPr>
        <w:t>1. Ремонт дороги местного значения подъезд к кладбищу «Рубцовское» с. Наруксово- 600 м</w:t>
      </w:r>
      <w:r>
        <w:rPr>
          <w:sz w:val="28"/>
          <w:szCs w:val="28"/>
          <w:vertAlign w:val="superscript"/>
        </w:rPr>
        <w:t xml:space="preserve">2 </w:t>
      </w:r>
      <w:r>
        <w:rPr>
          <w:sz w:val="28"/>
          <w:szCs w:val="28"/>
        </w:rPr>
        <w:t>681 752,47</w:t>
      </w:r>
    </w:p>
    <w:p w:rsidR="00C44134" w:rsidRDefault="00915CE8">
      <w:pPr>
        <w:jc w:val="both"/>
        <w:rPr>
          <w:sz w:val="28"/>
          <w:szCs w:val="28"/>
        </w:rPr>
      </w:pPr>
      <w:r>
        <w:rPr>
          <w:sz w:val="28"/>
          <w:szCs w:val="28"/>
        </w:rPr>
        <w:t>2.  Ремонт дороги в п.Арзинка ул.Вознесенская (к кладбищу) -2100 м</w:t>
      </w:r>
      <w:r>
        <w:rPr>
          <w:sz w:val="28"/>
          <w:szCs w:val="28"/>
          <w:vertAlign w:val="superscript"/>
        </w:rPr>
        <w:t xml:space="preserve">2 </w:t>
      </w:r>
      <w:r>
        <w:rPr>
          <w:sz w:val="28"/>
          <w:szCs w:val="28"/>
        </w:rPr>
        <w:t>1 957 605,00</w:t>
      </w:r>
    </w:p>
    <w:p w:rsidR="00C44134" w:rsidRDefault="00915CE8">
      <w:pPr>
        <w:jc w:val="both"/>
        <w:rPr>
          <w:sz w:val="28"/>
          <w:szCs w:val="28"/>
        </w:rPr>
      </w:pPr>
      <w:r>
        <w:rPr>
          <w:sz w:val="28"/>
          <w:szCs w:val="28"/>
        </w:rPr>
        <w:t>3. Ремонт дороги с.Василевка ул.Зеленый дол от д.7 до  д.32 -900  м</w:t>
      </w:r>
      <w:r>
        <w:rPr>
          <w:sz w:val="28"/>
          <w:szCs w:val="28"/>
          <w:vertAlign w:val="superscript"/>
        </w:rPr>
        <w:t xml:space="preserve">2  </w:t>
      </w:r>
      <w:r>
        <w:rPr>
          <w:sz w:val="28"/>
          <w:szCs w:val="28"/>
        </w:rPr>
        <w:t>752 883,45</w:t>
      </w:r>
    </w:p>
    <w:p w:rsidR="00C44134" w:rsidRDefault="00915CE8">
      <w:pPr>
        <w:jc w:val="both"/>
        <w:rPr>
          <w:sz w:val="28"/>
          <w:szCs w:val="28"/>
        </w:rPr>
      </w:pPr>
      <w:r>
        <w:rPr>
          <w:sz w:val="28"/>
          <w:szCs w:val="28"/>
        </w:rPr>
        <w:t>4. Ремонт дороги в п.Ужовка ул.Садовая от д.26 до д.42 -960  м</w:t>
      </w:r>
      <w:r>
        <w:rPr>
          <w:sz w:val="28"/>
          <w:szCs w:val="28"/>
          <w:vertAlign w:val="superscript"/>
        </w:rPr>
        <w:t xml:space="preserve">2 </w:t>
      </w:r>
      <w:r>
        <w:rPr>
          <w:sz w:val="28"/>
          <w:szCs w:val="28"/>
        </w:rPr>
        <w:t>841 509,40</w:t>
      </w:r>
    </w:p>
    <w:p w:rsidR="00C44134" w:rsidRDefault="00915CE8">
      <w:pPr>
        <w:jc w:val="both"/>
        <w:rPr>
          <w:sz w:val="28"/>
          <w:szCs w:val="28"/>
        </w:rPr>
      </w:pPr>
      <w:r>
        <w:rPr>
          <w:sz w:val="28"/>
          <w:szCs w:val="28"/>
        </w:rPr>
        <w:t>5. Ремонт дороги с.Криуша ул.Октябрьская от д.1 до д.21 - 1350  м</w:t>
      </w:r>
      <w:r>
        <w:rPr>
          <w:sz w:val="28"/>
          <w:szCs w:val="28"/>
          <w:vertAlign w:val="superscript"/>
        </w:rPr>
        <w:t xml:space="preserve">2 </w:t>
      </w:r>
      <w:r>
        <w:rPr>
          <w:sz w:val="28"/>
          <w:szCs w:val="28"/>
        </w:rPr>
        <w:t>1 163 857,15</w:t>
      </w:r>
    </w:p>
    <w:p w:rsidR="00C44134" w:rsidRDefault="00915CE8">
      <w:pPr>
        <w:jc w:val="both"/>
        <w:rPr>
          <w:sz w:val="28"/>
          <w:szCs w:val="28"/>
        </w:rPr>
      </w:pPr>
      <w:r>
        <w:rPr>
          <w:sz w:val="28"/>
          <w:szCs w:val="28"/>
        </w:rPr>
        <w:t>6.Ремонт дороги с.Кочкурово ул.Гагарина -3552 м</w:t>
      </w:r>
      <w:r>
        <w:rPr>
          <w:sz w:val="28"/>
          <w:szCs w:val="28"/>
          <w:vertAlign w:val="superscript"/>
        </w:rPr>
        <w:t xml:space="preserve">2 </w:t>
      </w:r>
      <w:r>
        <w:rPr>
          <w:sz w:val="28"/>
          <w:szCs w:val="28"/>
        </w:rPr>
        <w:t>2 921 495,50</w:t>
      </w:r>
    </w:p>
    <w:p w:rsidR="00C44134" w:rsidRDefault="00915CE8">
      <w:pPr>
        <w:jc w:val="both"/>
        <w:rPr>
          <w:sz w:val="28"/>
          <w:szCs w:val="28"/>
        </w:rPr>
      </w:pPr>
      <w:r>
        <w:rPr>
          <w:sz w:val="28"/>
          <w:szCs w:val="28"/>
        </w:rPr>
        <w:t>7. Ремонт дороги с.Байково ул.Новая от д.2 до д.36- 1800 м</w:t>
      </w:r>
      <w:r>
        <w:rPr>
          <w:sz w:val="28"/>
          <w:szCs w:val="28"/>
          <w:vertAlign w:val="superscript"/>
        </w:rPr>
        <w:t xml:space="preserve">2 </w:t>
      </w:r>
      <w:r>
        <w:rPr>
          <w:sz w:val="28"/>
          <w:szCs w:val="28"/>
        </w:rPr>
        <w:t>1 624 796,14</w:t>
      </w:r>
    </w:p>
    <w:p w:rsidR="00C44134" w:rsidRDefault="00915CE8">
      <w:pPr>
        <w:jc w:val="both"/>
        <w:rPr>
          <w:sz w:val="28"/>
          <w:szCs w:val="28"/>
        </w:rPr>
      </w:pPr>
      <w:r>
        <w:rPr>
          <w:sz w:val="28"/>
          <w:szCs w:val="28"/>
        </w:rPr>
        <w:t>8. ремонт дороги с.Журавлиха ул.Садовая от д.2 до д.52, ул.Молодежная от д.2 до д.10  - 3090 м</w:t>
      </w:r>
      <w:r>
        <w:rPr>
          <w:sz w:val="28"/>
          <w:szCs w:val="28"/>
          <w:vertAlign w:val="superscript"/>
        </w:rPr>
        <w:t xml:space="preserve">2 </w:t>
      </w:r>
      <w:r>
        <w:rPr>
          <w:sz w:val="28"/>
          <w:szCs w:val="28"/>
        </w:rPr>
        <w:t>1 170 2268,63</w:t>
      </w:r>
    </w:p>
    <w:p w:rsidR="00C44134" w:rsidRDefault="00915CE8">
      <w:pPr>
        <w:jc w:val="both"/>
        <w:rPr>
          <w:sz w:val="28"/>
          <w:szCs w:val="28"/>
        </w:rPr>
      </w:pPr>
      <w:r>
        <w:rPr>
          <w:sz w:val="28"/>
          <w:szCs w:val="28"/>
        </w:rPr>
        <w:t>9. Ремонт дороги с.Маресево  ул.Чкалова - 1500  м</w:t>
      </w:r>
      <w:r>
        <w:rPr>
          <w:sz w:val="28"/>
          <w:szCs w:val="28"/>
          <w:vertAlign w:val="superscript"/>
        </w:rPr>
        <w:t xml:space="preserve">2 </w:t>
      </w:r>
      <w:r>
        <w:rPr>
          <w:sz w:val="28"/>
          <w:szCs w:val="28"/>
        </w:rPr>
        <w:t>1 190 230,92</w:t>
      </w:r>
    </w:p>
    <w:p w:rsidR="00C44134" w:rsidRDefault="00915CE8">
      <w:pPr>
        <w:jc w:val="both"/>
        <w:rPr>
          <w:sz w:val="28"/>
          <w:szCs w:val="28"/>
        </w:rPr>
      </w:pPr>
      <w:r>
        <w:rPr>
          <w:sz w:val="28"/>
          <w:szCs w:val="28"/>
        </w:rPr>
        <w:t>10. Ремонт дороги с.Шагаево ул.Нижняя от д.5 до д.106 -4500 м</w:t>
      </w:r>
      <w:r>
        <w:rPr>
          <w:sz w:val="28"/>
          <w:szCs w:val="28"/>
          <w:vertAlign w:val="superscript"/>
        </w:rPr>
        <w:t xml:space="preserve">2 </w:t>
      </w:r>
      <w:r>
        <w:rPr>
          <w:sz w:val="28"/>
          <w:szCs w:val="28"/>
        </w:rPr>
        <w:t>2 971 087,17</w:t>
      </w:r>
    </w:p>
    <w:p w:rsidR="00C44134" w:rsidRDefault="00915CE8">
      <w:pPr>
        <w:jc w:val="both"/>
        <w:rPr>
          <w:sz w:val="28"/>
          <w:szCs w:val="28"/>
        </w:rPr>
      </w:pPr>
      <w:r>
        <w:rPr>
          <w:sz w:val="28"/>
          <w:szCs w:val="28"/>
        </w:rPr>
        <w:t>11. Ремонт дороги с.Учуево -Майдан ул.Зеленая от д.31 до д.69 -1500 м</w:t>
      </w:r>
      <w:r>
        <w:rPr>
          <w:sz w:val="28"/>
          <w:szCs w:val="28"/>
          <w:vertAlign w:val="superscript"/>
        </w:rPr>
        <w:t xml:space="preserve">2 </w:t>
      </w:r>
      <w:r>
        <w:rPr>
          <w:sz w:val="28"/>
          <w:szCs w:val="28"/>
        </w:rPr>
        <w:t>1 473 671,03</w:t>
      </w:r>
    </w:p>
    <w:p w:rsidR="00C44134" w:rsidRDefault="00915CE8">
      <w:pPr>
        <w:jc w:val="both"/>
        <w:rPr>
          <w:sz w:val="28"/>
          <w:szCs w:val="28"/>
        </w:rPr>
      </w:pPr>
      <w:r>
        <w:rPr>
          <w:sz w:val="28"/>
          <w:szCs w:val="28"/>
        </w:rPr>
        <w:t>12. Ремонт проезда между ул. 3Линия и 1 Мая с.Починки - 222  м</w:t>
      </w:r>
      <w:r>
        <w:rPr>
          <w:sz w:val="28"/>
          <w:szCs w:val="28"/>
          <w:vertAlign w:val="superscript"/>
        </w:rPr>
        <w:t xml:space="preserve">2 </w:t>
      </w:r>
      <w:r>
        <w:rPr>
          <w:sz w:val="28"/>
          <w:szCs w:val="28"/>
        </w:rPr>
        <w:t xml:space="preserve"> 308 123,78</w:t>
      </w:r>
    </w:p>
    <w:p w:rsidR="00C44134" w:rsidRDefault="00C44134">
      <w:pPr>
        <w:jc w:val="both"/>
        <w:rPr>
          <w:sz w:val="28"/>
        </w:rPr>
      </w:pPr>
    </w:p>
    <w:p w:rsidR="00C44134" w:rsidRDefault="00C44134">
      <w:pPr>
        <w:jc w:val="both"/>
        <w:rPr>
          <w:sz w:val="28"/>
        </w:rPr>
      </w:pPr>
    </w:p>
    <w:p w:rsidR="00C44134" w:rsidRDefault="00915CE8">
      <w:pPr>
        <w:jc w:val="both"/>
        <w:rPr>
          <w:sz w:val="28"/>
          <w:szCs w:val="28"/>
        </w:rPr>
      </w:pPr>
      <w:r>
        <w:rPr>
          <w:sz w:val="28"/>
          <w:szCs w:val="28"/>
        </w:rPr>
        <w:t>Раздел 0410 исполнен на 93,92% ,оплатили 2 счета за обслуживание системы РАСЦО за ноябрь и декабрь 2021г. по договору действующему с 01.11.2021г.</w:t>
      </w:r>
    </w:p>
    <w:p w:rsidR="00C44134" w:rsidRDefault="00C44134">
      <w:pPr>
        <w:jc w:val="both"/>
        <w:rPr>
          <w:sz w:val="28"/>
          <w:szCs w:val="28"/>
        </w:rPr>
      </w:pPr>
    </w:p>
    <w:p w:rsidR="00C44134" w:rsidRDefault="00915CE8">
      <w:pPr>
        <w:jc w:val="both"/>
        <w:rPr>
          <w:sz w:val="28"/>
          <w:szCs w:val="28"/>
        </w:rPr>
      </w:pPr>
      <w:r>
        <w:rPr>
          <w:sz w:val="28"/>
          <w:szCs w:val="28"/>
        </w:rPr>
        <w:t>0412 исполнен на 100%. Произведена замена части высоковольтной линии электропередачи в с.Шагаево, с целью бесперебойной работы водонапорной башни, снабжающей водой население.</w:t>
      </w:r>
    </w:p>
    <w:p w:rsidR="00C44134" w:rsidRDefault="00C44134">
      <w:pPr>
        <w:jc w:val="both"/>
        <w:rPr>
          <w:sz w:val="28"/>
          <w:szCs w:val="28"/>
        </w:rPr>
      </w:pPr>
    </w:p>
    <w:p w:rsidR="00C44134" w:rsidRDefault="00915CE8">
      <w:pPr>
        <w:jc w:val="both"/>
        <w:rPr>
          <w:sz w:val="28"/>
          <w:szCs w:val="28"/>
        </w:rPr>
      </w:pPr>
      <w:r>
        <w:rPr>
          <w:sz w:val="28"/>
          <w:szCs w:val="28"/>
        </w:rPr>
        <w:t>0502 исполнен на 97%. Ремонт водопровода -4 994 111,51. Приобретение насосов ЭЦВ -1 596 238,42, Хозяйственные товары для ремонта водонапорных башен -325 576,25. По программе инициативного бюджетирования «Вам решать» ср-ва местного бюджета-1 085 280,00, инициативные платежи -38 357,33, областные ср-ва 2 384 775,00</w:t>
      </w:r>
    </w:p>
    <w:p w:rsidR="00C44134" w:rsidRDefault="00915CE8">
      <w:pPr>
        <w:jc w:val="both"/>
        <w:rPr>
          <w:sz w:val="28"/>
          <w:szCs w:val="28"/>
        </w:rPr>
      </w:pPr>
      <w:r>
        <w:rPr>
          <w:sz w:val="28"/>
          <w:szCs w:val="28"/>
        </w:rPr>
        <w:lastRenderedPageBreak/>
        <w:t xml:space="preserve">Средства на удорожание одного проекта «ремонт водонапорной башни с.Симбухово программы «Вам Решать» составили: местный бюджет-1 690,52, областные-167 361,77. </w:t>
      </w:r>
    </w:p>
    <w:p w:rsidR="00C44134" w:rsidRDefault="00915CE8">
      <w:pPr>
        <w:jc w:val="both"/>
        <w:rPr>
          <w:sz w:val="28"/>
          <w:szCs w:val="28"/>
        </w:rPr>
      </w:pPr>
      <w:r>
        <w:rPr>
          <w:sz w:val="28"/>
          <w:szCs w:val="28"/>
        </w:rPr>
        <w:t>Субсидия на реализацию социально-значимых мероприятий в рамках решения вопросов местного значения из областного бюджета в размере 1 082 823,33 , местного бюджета-270 705,84.</w:t>
      </w:r>
    </w:p>
    <w:p w:rsidR="00C44134" w:rsidRDefault="00C44134">
      <w:pPr>
        <w:jc w:val="both"/>
        <w:rPr>
          <w:sz w:val="28"/>
          <w:szCs w:val="28"/>
        </w:rPr>
      </w:pPr>
    </w:p>
    <w:p w:rsidR="00C44134" w:rsidRDefault="00915CE8">
      <w:pPr>
        <w:jc w:val="both"/>
        <w:rPr>
          <w:sz w:val="28"/>
          <w:szCs w:val="28"/>
        </w:rPr>
      </w:pPr>
      <w:r>
        <w:rPr>
          <w:sz w:val="28"/>
          <w:szCs w:val="28"/>
        </w:rPr>
        <w:t>0503 исполнен на 93,88%. По косгу 222-185 600,00 перевозка щебня и песка, вывоз мусора из населенных пунктов округа. 225-1 793 834,33 работы по перекладке плитки возле вечного огня с.Починки., спил аварийных деревьев, работы по благоустройству территории уборка мусора, ремонт стеллы, ремонт колодцев. Ремонт площадок, мостков физическими лицами по договорам подряда,  226- 273 057,66 монтаж детского игрового оборудования, экспертиза моста через р.Алатырь .</w:t>
      </w:r>
    </w:p>
    <w:p w:rsidR="00C44134" w:rsidRDefault="00915CE8">
      <w:pPr>
        <w:jc w:val="both"/>
        <w:rPr>
          <w:sz w:val="28"/>
          <w:szCs w:val="28"/>
        </w:rPr>
      </w:pPr>
      <w:r>
        <w:rPr>
          <w:sz w:val="28"/>
          <w:szCs w:val="28"/>
        </w:rPr>
        <w:t>226-103 228,00.-средства из областного бюджета на устройство пандуса для инвалида-колясочника с.Криуша. По программе инициативного бюджетирования «Вам решать» ср-ва обл.бюджета 4 785 729,81. Ср-ва местного бюджета -2095 638,49, инициативные платежи – 73 741,26.</w:t>
      </w:r>
    </w:p>
    <w:p w:rsidR="00C44134" w:rsidRDefault="00915CE8">
      <w:pPr>
        <w:jc w:val="both"/>
        <w:rPr>
          <w:sz w:val="28"/>
          <w:szCs w:val="28"/>
        </w:rPr>
      </w:pPr>
      <w:r>
        <w:rPr>
          <w:sz w:val="28"/>
          <w:szCs w:val="28"/>
        </w:rPr>
        <w:t>Субсидия на реализацию социально-значимых мероприятий в рамках решения вопросов местного значения: из областного бюджета в размере 4 248 068,23 , местного бюджета-1 062 017,05.</w:t>
      </w:r>
    </w:p>
    <w:p w:rsidR="00C44134" w:rsidRDefault="00C44134">
      <w:pPr>
        <w:jc w:val="both"/>
        <w:rPr>
          <w:sz w:val="28"/>
          <w:szCs w:val="28"/>
        </w:rPr>
      </w:pPr>
    </w:p>
    <w:p w:rsidR="00C44134" w:rsidRDefault="00915CE8">
      <w:pPr>
        <w:jc w:val="both"/>
        <w:rPr>
          <w:sz w:val="28"/>
          <w:szCs w:val="28"/>
        </w:rPr>
      </w:pPr>
      <w:r>
        <w:rPr>
          <w:sz w:val="28"/>
          <w:szCs w:val="28"/>
        </w:rPr>
        <w:t>Раздел 0801 исполнен на 98,11%. По косгу 310 – 84 000,00 приобретены переносные ограждения для проведения массовых мероприятий. Косгу-222 14 000,00 доставка ограждений. 226-140 000,00 проведение 2-х фейерверков 9 мая  и Новый год. Косгу 226,346,349- 497 823,36 проведение мероприятий на территории округа в т.ч. подарки юбилярам.</w:t>
      </w:r>
    </w:p>
    <w:p w:rsidR="00C44134" w:rsidRDefault="00C44134">
      <w:pPr>
        <w:jc w:val="both"/>
        <w:rPr>
          <w:sz w:val="28"/>
          <w:szCs w:val="28"/>
        </w:rPr>
      </w:pPr>
    </w:p>
    <w:p w:rsidR="00C44134" w:rsidRDefault="00915CE8">
      <w:pPr>
        <w:rPr>
          <w:b/>
          <w:sz w:val="28"/>
          <w:szCs w:val="28"/>
        </w:rPr>
      </w:pPr>
      <w:r>
        <w:rPr>
          <w:b/>
          <w:sz w:val="28"/>
          <w:szCs w:val="28"/>
        </w:rPr>
        <w:t xml:space="preserve">4. «Анализ показателей отчетности».      </w:t>
      </w:r>
    </w:p>
    <w:p w:rsidR="00C44134" w:rsidRDefault="00C44134">
      <w:pPr>
        <w:jc w:val="both"/>
      </w:pPr>
    </w:p>
    <w:p w:rsidR="00C44134" w:rsidRDefault="00915CE8">
      <w:pPr>
        <w:jc w:val="both"/>
      </w:pPr>
      <w:r>
        <w:rPr>
          <w:sz w:val="28"/>
          <w:szCs w:val="28"/>
        </w:rPr>
        <w:t xml:space="preserve">От управления архитектуры </w:t>
      </w:r>
      <w:r>
        <w:rPr>
          <w:b/>
          <w:sz w:val="28"/>
          <w:szCs w:val="28"/>
        </w:rPr>
        <w:t xml:space="preserve">приняты </w:t>
      </w:r>
      <w:r>
        <w:rPr>
          <w:sz w:val="28"/>
          <w:szCs w:val="28"/>
        </w:rPr>
        <w:t>на сч. 106.11 стоимостью 160 691,36 затраты на сметную документацию строительство дороги ул.Елисеева с.Починки. Администрация Починковского муниципального округа передала систему РАСЦО сч.101,34 стоим.19 800 218,10, с ранее начисленной амортизацией 707150,64, по сч. 106.11 затраты на парки с.Починки и п.Ужовка общей стоимостью 7 782 795,81. От КУМИ принято  имущество: сч.101.12 -414 043 290,19 с амортизацией 21 375 771,44; сч.101,34- 3 227 538,56 с амортизацией 3 050 185,75; сч. 101,36 – 1 316 449,30 с аморт. 825 292,90; сч.101.38- 21 547 916,34 с аморт. 21 018 132,95. Счет 105.36 МЗ-на сумму 516 761,22.</w:t>
      </w:r>
    </w:p>
    <w:p w:rsidR="00C44134" w:rsidRDefault="00C44134">
      <w:pPr>
        <w:jc w:val="both"/>
        <w:rPr>
          <w:sz w:val="28"/>
          <w:szCs w:val="28"/>
        </w:rPr>
      </w:pPr>
    </w:p>
    <w:p w:rsidR="00C44134" w:rsidRDefault="00915CE8">
      <w:pPr>
        <w:jc w:val="both"/>
        <w:rPr>
          <w:sz w:val="28"/>
          <w:szCs w:val="28"/>
        </w:rPr>
      </w:pPr>
      <w:r>
        <w:rPr>
          <w:sz w:val="28"/>
          <w:szCs w:val="28"/>
        </w:rPr>
        <w:t xml:space="preserve">КУМИ  </w:t>
      </w:r>
      <w:r>
        <w:rPr>
          <w:b/>
          <w:sz w:val="28"/>
          <w:szCs w:val="28"/>
        </w:rPr>
        <w:t>переданы</w:t>
      </w:r>
      <w:r>
        <w:rPr>
          <w:sz w:val="28"/>
          <w:szCs w:val="28"/>
        </w:rPr>
        <w:t xml:space="preserve"> сч.106.11 затраты по водонапорной башне с.Ужовка ул.Лесная 419 906,64, по сч.101.34 -1 342 966,00 насосы ЭЦВ для водоснабжения с амортизацией 1 241 419,00.</w:t>
      </w:r>
    </w:p>
    <w:p w:rsidR="00C44134" w:rsidRDefault="00C44134">
      <w:pPr>
        <w:jc w:val="both"/>
        <w:rPr>
          <w:sz w:val="28"/>
          <w:szCs w:val="28"/>
        </w:rPr>
      </w:pPr>
    </w:p>
    <w:p w:rsidR="00C44134" w:rsidRDefault="00915CE8">
      <w:pPr>
        <w:rPr>
          <w:b/>
          <w:sz w:val="28"/>
          <w:szCs w:val="28"/>
        </w:rPr>
      </w:pPr>
      <w:r>
        <w:rPr>
          <w:b/>
          <w:sz w:val="28"/>
          <w:szCs w:val="28"/>
        </w:rPr>
        <w:lastRenderedPageBreak/>
        <w:t xml:space="preserve">5. «Прочие вопросы деятельности учреждения».  </w:t>
      </w:r>
    </w:p>
    <w:p w:rsidR="00C44134" w:rsidRDefault="00915CE8">
      <w:pPr>
        <w:jc w:val="both"/>
      </w:pPr>
      <w:r>
        <w:rPr>
          <w:sz w:val="28"/>
          <w:szCs w:val="28"/>
        </w:rPr>
        <w:t>По итогам года сдается бухгалтерская отчетность финансовой деятельности учреждения. Бюджетная отчетность за 2021 год составляется в соответствии с требованиями Инструкции о порядке составления и предоставлении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28.12.2010г.№191н(в редакции приказа отчетности государственных (муниципальных) бюджетных и автономных учреждений, утвержденной приказом Министерства финансо</w:t>
      </w:r>
      <w:r w:rsidR="000877F6">
        <w:rPr>
          <w:sz w:val="28"/>
          <w:szCs w:val="28"/>
        </w:rPr>
        <w:t xml:space="preserve">в РФ от 25.03.2011г.№33н (далее, </w:t>
      </w:r>
      <w:r>
        <w:rPr>
          <w:sz w:val="28"/>
          <w:szCs w:val="28"/>
        </w:rPr>
        <w:t>соответственно-Инструкции№191н, Инструкция№33н, вместе Инструкции) с учетом положений приказа Министерства финансов РФ от 16.11.2016г. №209н "О внесении изменений в некоторые приказы Министерства финансов Российской Федерации в целях совершенствования бюджетного (бухгалтерского) учета и отчетности. В составе бюджетной отчетности нами сданы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дефицита бюджета, главного администратора доходов бюджета</w:t>
      </w:r>
      <w:r w:rsidR="000877F6">
        <w:rPr>
          <w:sz w:val="28"/>
          <w:szCs w:val="28"/>
        </w:rPr>
        <w:t xml:space="preserve"> </w:t>
      </w:r>
      <w:r>
        <w:rPr>
          <w:sz w:val="28"/>
          <w:szCs w:val="28"/>
        </w:rPr>
        <w:t>(ф.0503130);</w:t>
      </w:r>
      <w:r w:rsidR="000877F6">
        <w:rPr>
          <w:sz w:val="28"/>
          <w:szCs w:val="28"/>
        </w:rPr>
        <w:t xml:space="preserve"> </w:t>
      </w:r>
      <w:r>
        <w:rPr>
          <w:sz w:val="28"/>
          <w:szCs w:val="28"/>
        </w:rPr>
        <w:t>справка по консолидируемым расчетам ф.0503125, отчет об исполнении бюджета главного распорядителя ф.0503127, отчет о принятых бюджетных обязательствах ф. 0503128, справка по заключению счетов бюджетного учета отчетного финансового года ф.0503110, отчет о финансовых результатах деятельности ф.0503121, отчет о движении денежных средств ф.0503123, пояснительная записка ф.0503160 с приложениями таблиц №1,3,4,6, и приложениями форм</w:t>
      </w:r>
    </w:p>
    <w:p w:rsidR="00C44134" w:rsidRDefault="00915CE8">
      <w:pPr>
        <w:jc w:val="both"/>
      </w:pPr>
      <w:r>
        <w:rPr>
          <w:sz w:val="28"/>
          <w:szCs w:val="28"/>
        </w:rPr>
        <w:t>0503164,0503166,0503168,0503169,0503171,0503172,0503173,0503174,0503175,0503190,0503296</w:t>
      </w:r>
    </w:p>
    <w:p w:rsidR="00C44134" w:rsidRDefault="00915CE8">
      <w:pPr>
        <w:jc w:val="both"/>
      </w:pPr>
      <w:r>
        <w:rPr>
          <w:sz w:val="28"/>
          <w:szCs w:val="28"/>
        </w:rPr>
        <w:t>Бухгалтерский учет ведется в программе 1-С:</w:t>
      </w:r>
      <w:r w:rsidR="000877F6">
        <w:rPr>
          <w:sz w:val="28"/>
          <w:szCs w:val="28"/>
        </w:rPr>
        <w:t xml:space="preserve"> </w:t>
      </w:r>
      <w:r>
        <w:rPr>
          <w:sz w:val="28"/>
          <w:szCs w:val="28"/>
        </w:rPr>
        <w:t>Бухгалтерия государственного учреждения 8.3 ПРОФ. Обязанности главного бухгалтера и ответственного за ведение бухгалтерского учета возложены на ведущего специалиста  Гладилину Е.В., имеющую высш</w:t>
      </w:r>
      <w:r w:rsidR="000877F6">
        <w:rPr>
          <w:sz w:val="28"/>
          <w:szCs w:val="28"/>
        </w:rPr>
        <w:t xml:space="preserve">ее образование. Руководителем </w:t>
      </w:r>
      <w:r>
        <w:rPr>
          <w:sz w:val="28"/>
          <w:szCs w:val="28"/>
        </w:rPr>
        <w:t>является начальник управления развития территорий Ларин Д.И.</w:t>
      </w:r>
    </w:p>
    <w:p w:rsidR="00C44134" w:rsidRDefault="00C44134">
      <w:pPr>
        <w:jc w:val="both"/>
        <w:rPr>
          <w:sz w:val="28"/>
          <w:szCs w:val="28"/>
        </w:rPr>
      </w:pPr>
    </w:p>
    <w:p w:rsidR="00C44134" w:rsidRDefault="00C44134">
      <w:pPr>
        <w:jc w:val="both"/>
        <w:rPr>
          <w:sz w:val="28"/>
          <w:szCs w:val="28"/>
        </w:rPr>
      </w:pPr>
    </w:p>
    <w:p w:rsidR="00C44134" w:rsidRDefault="00915CE8">
      <w:pPr>
        <w:jc w:val="both"/>
        <w:rPr>
          <w:sz w:val="28"/>
          <w:szCs w:val="28"/>
        </w:rPr>
      </w:pPr>
      <w:r>
        <w:rPr>
          <w:sz w:val="28"/>
          <w:szCs w:val="28"/>
        </w:rPr>
        <w:t>Начальник                                                Д.И.</w:t>
      </w:r>
      <w:r w:rsidR="008B516E">
        <w:rPr>
          <w:sz w:val="28"/>
          <w:szCs w:val="28"/>
        </w:rPr>
        <w:t xml:space="preserve"> </w:t>
      </w:r>
      <w:r>
        <w:rPr>
          <w:sz w:val="28"/>
          <w:szCs w:val="28"/>
        </w:rPr>
        <w:t>Ларин</w:t>
      </w:r>
    </w:p>
    <w:p w:rsidR="00C44134" w:rsidRDefault="00C44134">
      <w:pPr>
        <w:jc w:val="both"/>
        <w:rPr>
          <w:sz w:val="28"/>
          <w:szCs w:val="28"/>
        </w:rPr>
      </w:pPr>
    </w:p>
    <w:p w:rsidR="00C44134" w:rsidRDefault="00915CE8">
      <w:pPr>
        <w:jc w:val="both"/>
        <w:rPr>
          <w:sz w:val="28"/>
          <w:szCs w:val="28"/>
        </w:rPr>
      </w:pPr>
      <w:r>
        <w:rPr>
          <w:sz w:val="28"/>
          <w:szCs w:val="28"/>
        </w:rPr>
        <w:t>Гл.</w:t>
      </w:r>
      <w:r w:rsidR="008B516E">
        <w:rPr>
          <w:sz w:val="28"/>
          <w:szCs w:val="28"/>
        </w:rPr>
        <w:t xml:space="preserve"> </w:t>
      </w:r>
      <w:r>
        <w:rPr>
          <w:sz w:val="28"/>
          <w:szCs w:val="28"/>
        </w:rPr>
        <w:t>бухгалтер                                            Е.В.</w:t>
      </w:r>
      <w:r w:rsidR="008B516E">
        <w:rPr>
          <w:sz w:val="28"/>
          <w:szCs w:val="28"/>
        </w:rPr>
        <w:t xml:space="preserve"> </w:t>
      </w:r>
      <w:r>
        <w:rPr>
          <w:sz w:val="28"/>
          <w:szCs w:val="28"/>
        </w:rPr>
        <w:t>Гладилина</w:t>
      </w:r>
    </w:p>
    <w:p w:rsidR="00C44134" w:rsidRDefault="00C44134">
      <w:pPr>
        <w:pStyle w:val="Default"/>
        <w:jc w:val="both"/>
        <w:rPr>
          <w:sz w:val="28"/>
          <w:szCs w:val="28"/>
        </w:rPr>
      </w:pPr>
    </w:p>
    <w:sectPr w:rsidR="00C44134" w:rsidSect="00C44134">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4134"/>
    <w:rsid w:val="000877F6"/>
    <w:rsid w:val="00254B7E"/>
    <w:rsid w:val="00262CEB"/>
    <w:rsid w:val="00307F80"/>
    <w:rsid w:val="008B516E"/>
    <w:rsid w:val="00915CE8"/>
    <w:rsid w:val="00930C5D"/>
    <w:rsid w:val="00C34E7F"/>
    <w:rsid w:val="00C44134"/>
    <w:rsid w:val="00CD3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1D"/>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C44134"/>
    <w:pPr>
      <w:keepNext/>
      <w:spacing w:before="240" w:after="120"/>
    </w:pPr>
    <w:rPr>
      <w:rFonts w:ascii="Liberation Sans" w:eastAsia="Microsoft YaHei" w:hAnsi="Liberation Sans" w:cs="Arial"/>
      <w:sz w:val="28"/>
      <w:szCs w:val="28"/>
    </w:rPr>
  </w:style>
  <w:style w:type="paragraph" w:styleId="a4">
    <w:name w:val="Body Text"/>
    <w:basedOn w:val="a"/>
    <w:rsid w:val="00C44134"/>
    <w:pPr>
      <w:spacing w:after="140" w:line="276" w:lineRule="auto"/>
    </w:pPr>
  </w:style>
  <w:style w:type="paragraph" w:styleId="a5">
    <w:name w:val="List"/>
    <w:basedOn w:val="a4"/>
    <w:rsid w:val="00C44134"/>
    <w:rPr>
      <w:rFonts w:cs="Arial"/>
    </w:rPr>
  </w:style>
  <w:style w:type="paragraph" w:customStyle="1" w:styleId="Caption">
    <w:name w:val="Caption"/>
    <w:basedOn w:val="a"/>
    <w:qFormat/>
    <w:rsid w:val="00C44134"/>
    <w:pPr>
      <w:suppressLineNumbers/>
      <w:spacing w:before="120" w:after="120"/>
    </w:pPr>
    <w:rPr>
      <w:rFonts w:cs="Arial"/>
      <w:i/>
      <w:iCs/>
    </w:rPr>
  </w:style>
  <w:style w:type="paragraph" w:styleId="a6">
    <w:name w:val="index heading"/>
    <w:basedOn w:val="a"/>
    <w:qFormat/>
    <w:rsid w:val="00C44134"/>
    <w:pPr>
      <w:suppressLineNumbers/>
    </w:pPr>
    <w:rPr>
      <w:rFonts w:cs="Arial"/>
    </w:rPr>
  </w:style>
  <w:style w:type="paragraph" w:styleId="a7">
    <w:name w:val="List Paragraph"/>
    <w:basedOn w:val="a"/>
    <w:uiPriority w:val="34"/>
    <w:qFormat/>
    <w:rsid w:val="00CB35B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qFormat/>
    <w:rsid w:val="00CB35BB"/>
    <w:rPr>
      <w:rFonts w:ascii="Times New Roman" w:eastAsia="Calibri" w:hAnsi="Times New Roman" w:cs="Times New Roman"/>
      <w:color w:val="000000"/>
      <w:sz w:val="24"/>
      <w:szCs w:val="24"/>
    </w:rPr>
  </w:style>
  <w:style w:type="table" w:styleId="a8">
    <w:name w:val="Table Grid"/>
    <w:basedOn w:val="a1"/>
    <w:uiPriority w:val="59"/>
    <w:rsid w:val="00940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FAF8-DB3B-4D3B-89F3-82D3B3D1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1832</Words>
  <Characters>10445</Characters>
  <Application>Microsoft Office Word</Application>
  <DocSecurity>0</DocSecurity>
  <Lines>87</Lines>
  <Paragraphs>24</Paragraphs>
  <ScaleCrop>false</ScaleCrop>
  <Company>Reanimator Extreme Edition</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dc:creator>
  <dc:description/>
  <cp:lastModifiedBy>sysadmin</cp:lastModifiedBy>
  <cp:revision>28</cp:revision>
  <dcterms:created xsi:type="dcterms:W3CDTF">2022-01-16T16:06:00Z</dcterms:created>
  <dcterms:modified xsi:type="dcterms:W3CDTF">2022-04-12T11:03:00Z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